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E4" w:rsidRDefault="00A835E4"/>
    <w:p w:rsidR="00EC0B66" w:rsidRDefault="00EC0B66"/>
    <w:p w:rsidR="008F3089" w:rsidRDefault="008F3089"/>
    <w:p w:rsidR="008F3089" w:rsidRDefault="008F3089"/>
    <w:p w:rsidR="008F3089" w:rsidRPr="008F3089" w:rsidRDefault="008F3089">
      <w:pPr>
        <w:rPr>
          <w:sz w:val="32"/>
          <w:szCs w:val="32"/>
        </w:rPr>
      </w:pPr>
      <w:r w:rsidRPr="008F3089">
        <w:rPr>
          <w:sz w:val="32"/>
          <w:szCs w:val="32"/>
        </w:rPr>
        <w:t xml:space="preserve">  Извештај директора школе</w:t>
      </w:r>
    </w:p>
    <w:p w:rsidR="008F3089" w:rsidRPr="008F3089" w:rsidRDefault="008F3089">
      <w:pPr>
        <w:rPr>
          <w:sz w:val="32"/>
          <w:szCs w:val="32"/>
        </w:rPr>
      </w:pPr>
    </w:p>
    <w:p w:rsidR="008F3089" w:rsidRPr="00454FA6" w:rsidRDefault="00454FA6">
      <w:pPr>
        <w:rPr>
          <w:sz w:val="32"/>
          <w:szCs w:val="32"/>
        </w:rPr>
      </w:pPr>
      <w:r>
        <w:rPr>
          <w:sz w:val="32"/>
          <w:szCs w:val="32"/>
        </w:rPr>
        <w:t xml:space="preserve">септембар </w:t>
      </w:r>
      <w:r w:rsidR="006A2F5F">
        <w:rPr>
          <w:sz w:val="32"/>
          <w:szCs w:val="32"/>
        </w:rPr>
        <w:t xml:space="preserve"> 2020 – </w:t>
      </w:r>
      <w:r>
        <w:rPr>
          <w:sz w:val="32"/>
          <w:szCs w:val="32"/>
        </w:rPr>
        <w:t>јануар</w:t>
      </w:r>
      <w:r w:rsidR="00DD11AA">
        <w:rPr>
          <w:sz w:val="32"/>
          <w:szCs w:val="32"/>
        </w:rPr>
        <w:t xml:space="preserve"> 202</w:t>
      </w:r>
      <w:r>
        <w:rPr>
          <w:sz w:val="32"/>
          <w:szCs w:val="32"/>
        </w:rPr>
        <w:t>1</w:t>
      </w: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  <w:r>
        <w:rPr>
          <w:noProof/>
          <w:sz w:val="32"/>
          <w:szCs w:val="32"/>
          <w:lang w:eastAsia="sr-Latn-CS"/>
        </w:rPr>
        <w:drawing>
          <wp:inline distT="0" distB="0" distL="0" distR="0">
            <wp:extent cx="5731510" cy="3834130"/>
            <wp:effectExtent l="19050" t="0" r="2540" b="0"/>
            <wp:docPr id="1" name="Picture 0" descr="10688385_685630541563241_52007628800764030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8385_685630541563241_5200762880076403012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</w:p>
    <w:p w:rsidR="008F3089" w:rsidRDefault="008F3089">
      <w:pPr>
        <w:rPr>
          <w:sz w:val="32"/>
          <w:szCs w:val="32"/>
        </w:rPr>
      </w:pPr>
      <w:r>
        <w:rPr>
          <w:sz w:val="32"/>
          <w:szCs w:val="32"/>
        </w:rPr>
        <w:t>МШ „Живорад Грбић“                        мр Сузана Радовановић Перић</w:t>
      </w:r>
    </w:p>
    <w:p w:rsidR="008F3089" w:rsidRDefault="002F4938">
      <w:pPr>
        <w:rPr>
          <w:sz w:val="32"/>
          <w:szCs w:val="32"/>
        </w:rPr>
      </w:pPr>
      <w:r>
        <w:rPr>
          <w:sz w:val="32"/>
          <w:szCs w:val="32"/>
        </w:rPr>
        <w:t>август</w:t>
      </w:r>
      <w:r w:rsidR="00DD11AA">
        <w:rPr>
          <w:sz w:val="32"/>
          <w:szCs w:val="32"/>
        </w:rPr>
        <w:t>, 2020</w:t>
      </w:r>
      <w:r w:rsidR="008F3089">
        <w:rPr>
          <w:sz w:val="32"/>
          <w:szCs w:val="32"/>
        </w:rPr>
        <w:t>.  Ваљево</w:t>
      </w:r>
    </w:p>
    <w:p w:rsidR="008F3089" w:rsidRDefault="008F3089">
      <w:pPr>
        <w:rPr>
          <w:sz w:val="24"/>
          <w:szCs w:val="24"/>
        </w:rPr>
      </w:pPr>
    </w:p>
    <w:p w:rsidR="008F3089" w:rsidRDefault="008F3089">
      <w:pPr>
        <w:rPr>
          <w:b/>
          <w:sz w:val="24"/>
          <w:szCs w:val="24"/>
        </w:rPr>
      </w:pPr>
    </w:p>
    <w:p w:rsidR="002A2EEB" w:rsidRPr="0093047A" w:rsidRDefault="002A2EEB" w:rsidP="0093047A">
      <w:pPr>
        <w:rPr>
          <w:b/>
          <w:sz w:val="24"/>
          <w:szCs w:val="24"/>
        </w:rPr>
      </w:pPr>
      <w:r w:rsidRPr="0093047A">
        <w:rPr>
          <w:b/>
          <w:sz w:val="24"/>
          <w:szCs w:val="24"/>
        </w:rPr>
        <w:t>ОБЛАСТ КВАЛИТЕТА 1 – Програмирање, планирање и извештавање</w:t>
      </w:r>
    </w:p>
    <w:p w:rsidR="002A2EEB" w:rsidRDefault="002A2EEB" w:rsidP="002A2EEB">
      <w:pPr>
        <w:pStyle w:val="ListParagraph"/>
        <w:rPr>
          <w:b/>
          <w:sz w:val="24"/>
          <w:szCs w:val="24"/>
        </w:rPr>
      </w:pPr>
    </w:p>
    <w:p w:rsidR="006A2F5F" w:rsidRDefault="006A2F5F" w:rsidP="002A2E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У периоду од </w:t>
      </w:r>
      <w:r w:rsidR="00454FA6">
        <w:rPr>
          <w:sz w:val="24"/>
          <w:szCs w:val="24"/>
        </w:rPr>
        <w:t>1. септембра</w:t>
      </w:r>
      <w:r w:rsidR="00555F80">
        <w:rPr>
          <w:sz w:val="24"/>
          <w:szCs w:val="24"/>
          <w:lang/>
        </w:rPr>
        <w:t xml:space="preserve"> </w:t>
      </w:r>
      <w:r w:rsidR="00454FA6">
        <w:rPr>
          <w:sz w:val="24"/>
          <w:szCs w:val="24"/>
        </w:rPr>
        <w:t>до 30. новембра</w:t>
      </w:r>
      <w:r>
        <w:rPr>
          <w:sz w:val="24"/>
          <w:szCs w:val="24"/>
        </w:rPr>
        <w:t xml:space="preserve"> 2020. у</w:t>
      </w:r>
      <w:r w:rsidR="00454FA6">
        <w:rPr>
          <w:sz w:val="24"/>
          <w:szCs w:val="24"/>
        </w:rPr>
        <w:t xml:space="preserve"> складу са Стручним упутством МПНТР, препорукама института БАТУТ, пр</w:t>
      </w:r>
      <w:r w:rsidR="000C1E34">
        <w:rPr>
          <w:sz w:val="24"/>
          <w:szCs w:val="24"/>
        </w:rPr>
        <w:t>е</w:t>
      </w:r>
      <w:r w:rsidR="00454FA6">
        <w:rPr>
          <w:sz w:val="24"/>
          <w:szCs w:val="24"/>
        </w:rPr>
        <w:t xml:space="preserve">порукама ЗМБШС, </w:t>
      </w:r>
      <w:r>
        <w:rPr>
          <w:sz w:val="24"/>
          <w:szCs w:val="24"/>
        </w:rPr>
        <w:t xml:space="preserve">у школи је </w:t>
      </w:r>
      <w:r w:rsidR="00454FA6">
        <w:rPr>
          <w:sz w:val="24"/>
          <w:szCs w:val="24"/>
        </w:rPr>
        <w:t xml:space="preserve"> настава организована у складу са епидемиолошком ситуацијом изазваном  вирусом  COVID 19</w:t>
      </w:r>
      <w:r w:rsidR="0070338E">
        <w:rPr>
          <w:sz w:val="24"/>
          <w:szCs w:val="24"/>
        </w:rPr>
        <w:t xml:space="preserve">. </w:t>
      </w:r>
      <w:r w:rsidR="002D3244">
        <w:rPr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 w:rsidR="00454FA6">
        <w:rPr>
          <w:sz w:val="24"/>
          <w:szCs w:val="24"/>
        </w:rPr>
        <w:t>1. септембра</w:t>
      </w:r>
      <w:r w:rsidR="000C1E34">
        <w:rPr>
          <w:sz w:val="24"/>
          <w:szCs w:val="24"/>
        </w:rPr>
        <w:t xml:space="preserve"> до 30. новембра, </w:t>
      </w:r>
      <w:r w:rsidR="00454FA6">
        <w:rPr>
          <w:sz w:val="24"/>
          <w:szCs w:val="24"/>
        </w:rPr>
        <w:t xml:space="preserve">настава се реализовала  у потпуности </w:t>
      </w:r>
      <w:r w:rsidR="00454FA6" w:rsidRPr="00454FA6">
        <w:rPr>
          <w:b/>
          <w:bCs/>
          <w:sz w:val="24"/>
          <w:szCs w:val="24"/>
        </w:rPr>
        <w:t>у школи</w:t>
      </w:r>
      <w:r w:rsidR="00454FA6">
        <w:rPr>
          <w:b/>
          <w:bCs/>
          <w:sz w:val="24"/>
          <w:szCs w:val="24"/>
        </w:rPr>
        <w:t xml:space="preserve">. </w:t>
      </w:r>
      <w:r w:rsidR="00454FA6">
        <w:rPr>
          <w:sz w:val="24"/>
          <w:szCs w:val="24"/>
        </w:rPr>
        <w:t xml:space="preserve">У периоду од 20. августа до 15. септембра дефинисан је и усвојен  Оперативни план рада, извршено анкетирање родитеља везано за изјашњавање за  понуђене моделе наставе, </w:t>
      </w:r>
      <w:r>
        <w:rPr>
          <w:sz w:val="24"/>
          <w:szCs w:val="24"/>
        </w:rPr>
        <w:t>извршене су припреме</w:t>
      </w:r>
      <w:r w:rsidR="00454FA6">
        <w:rPr>
          <w:sz w:val="24"/>
          <w:szCs w:val="24"/>
        </w:rPr>
        <w:t xml:space="preserve"> и организација наставе и осталих активности у школи (распоред звоњења и дезинфекције, дежурство наставника, правила понашања ученика и запослених услед пандемије. </w:t>
      </w:r>
      <w:r>
        <w:rPr>
          <w:sz w:val="24"/>
          <w:szCs w:val="24"/>
        </w:rPr>
        <w:t>У  периоду</w:t>
      </w:r>
      <w:r w:rsidR="00785DCF">
        <w:rPr>
          <w:sz w:val="24"/>
          <w:szCs w:val="24"/>
        </w:rPr>
        <w:t xml:space="preserve"> од 1. септембра до 18. децембра, школа је на недељном нивоу слала Извештаје о реализацији наставе Школској Управи, а у истом периоду уносила у ИС Доситеј на недељном нивоу,  извештаје о здравственом стању запослених и ученика. </w:t>
      </w:r>
      <w:r>
        <w:rPr>
          <w:sz w:val="24"/>
          <w:szCs w:val="24"/>
        </w:rPr>
        <w:t xml:space="preserve">, </w:t>
      </w:r>
      <w:r w:rsidR="00785DCF">
        <w:rPr>
          <w:sz w:val="24"/>
          <w:szCs w:val="24"/>
        </w:rPr>
        <w:t>У периоду од 10.11.  н</w:t>
      </w:r>
      <w:r>
        <w:rPr>
          <w:sz w:val="24"/>
          <w:szCs w:val="24"/>
        </w:rPr>
        <w:t>а дневном нивоу, Школској управи</w:t>
      </w:r>
      <w:r w:rsidR="00785DCF">
        <w:rPr>
          <w:sz w:val="24"/>
          <w:szCs w:val="24"/>
        </w:rPr>
        <w:t>, Кризн</w:t>
      </w:r>
      <w:r w:rsidR="000C1E34">
        <w:rPr>
          <w:sz w:val="24"/>
          <w:szCs w:val="24"/>
        </w:rPr>
        <w:t>о</w:t>
      </w:r>
      <w:r w:rsidR="00785DCF">
        <w:rPr>
          <w:sz w:val="24"/>
          <w:szCs w:val="24"/>
        </w:rPr>
        <w:t>м штабу Града Ваљева и Заводу за Јавно здравље</w:t>
      </w:r>
      <w:r>
        <w:rPr>
          <w:sz w:val="24"/>
          <w:szCs w:val="24"/>
        </w:rPr>
        <w:t xml:space="preserve"> су прослеђивани  извештаји о здравственом стању ученика и запослених.</w:t>
      </w:r>
    </w:p>
    <w:p w:rsidR="00DD11AA" w:rsidRDefault="00785DCF" w:rsidP="006A2F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Све до 30. 11. настава се у школи развијала без </w:t>
      </w:r>
      <w:r w:rsidR="000C1E34">
        <w:rPr>
          <w:sz w:val="24"/>
          <w:szCs w:val="24"/>
        </w:rPr>
        <w:t xml:space="preserve">значајнијих проблема </w:t>
      </w:r>
      <w:r w:rsidR="00555F80">
        <w:rPr>
          <w:sz w:val="24"/>
          <w:szCs w:val="24"/>
        </w:rPr>
        <w:t xml:space="preserve">ако се изузме </w:t>
      </w:r>
      <w:r>
        <w:rPr>
          <w:sz w:val="24"/>
          <w:szCs w:val="24"/>
        </w:rPr>
        <w:t xml:space="preserve"> пораст</w:t>
      </w:r>
      <w:r w:rsidR="00555F80">
        <w:rPr>
          <w:sz w:val="24"/>
          <w:szCs w:val="24"/>
          <w:lang/>
        </w:rPr>
        <w:t xml:space="preserve"> броја </w:t>
      </w:r>
      <w:r>
        <w:rPr>
          <w:sz w:val="24"/>
          <w:szCs w:val="24"/>
        </w:rPr>
        <w:t xml:space="preserve"> ученика који су се нашли у изолацији због об</w:t>
      </w:r>
      <w:r w:rsidR="000C1E34">
        <w:rPr>
          <w:sz w:val="24"/>
          <w:szCs w:val="24"/>
        </w:rPr>
        <w:t>о</w:t>
      </w:r>
      <w:r>
        <w:rPr>
          <w:sz w:val="24"/>
          <w:szCs w:val="24"/>
        </w:rPr>
        <w:t>љевања  у породици, и неколико колега који су због обољевања или изолације морали да одсуствују са посла а њихови часови бивали покривени од стране замена.</w:t>
      </w:r>
    </w:p>
    <w:p w:rsidR="00785DCF" w:rsidRDefault="00785DCF" w:rsidP="006A2F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У пер</w:t>
      </w:r>
      <w:r w:rsidR="000C1E34">
        <w:rPr>
          <w:sz w:val="24"/>
          <w:szCs w:val="24"/>
        </w:rPr>
        <w:t>иоду од 30.11. до 18.11. школа је у потпуности прешла на Наставу на даљину у складу са Стручним упутством МПНТР али и на основу изјашњавања  Савета родитеља, Наставничког већа и Школског одбора. Рад школе у том периоду представљам кроз приказ Оперативног плана рада предвиђеним за тај период а усвојен од стране  Министарства.</w:t>
      </w:r>
    </w:p>
    <w:p w:rsidR="000C1E34" w:rsidRDefault="000C1E34" w:rsidP="006A2F5F">
      <w:pPr>
        <w:pStyle w:val="ListParagrap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3"/>
        <w:gridCol w:w="4309"/>
      </w:tblGrid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Начин реализације наставе</w:t>
            </w:r>
          </w:p>
        </w:tc>
        <w:tc>
          <w:tcPr>
            <w:tcW w:w="4508" w:type="dxa"/>
          </w:tcPr>
          <w:p w:rsidR="000C1E34" w:rsidRPr="0099626E" w:rsidRDefault="000C1E34" w:rsidP="000C1E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на даљину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Распоред реализације наставе</w:t>
            </w:r>
          </w:p>
        </w:tc>
        <w:tc>
          <w:tcPr>
            <w:tcW w:w="4508" w:type="dxa"/>
          </w:tcPr>
          <w:p w:rsidR="000C1E34" w:rsidRPr="0099626E" w:rsidRDefault="000C1E34" w:rsidP="000C1E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по распоредима реализације наставе у основној и средњој школи, усвојених 15. септембра 2020. на седници Наставничког већа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  <w:i/>
                <w:iCs/>
              </w:rPr>
            </w:pPr>
            <w:r w:rsidRPr="0099626E">
              <w:rPr>
                <w:rFonts w:cs="Calibri"/>
                <w:i/>
                <w:iCs/>
              </w:rPr>
              <w:t xml:space="preserve">напомена: у случајевима где је распоред потребно прилагодити  због евентуалне промене распореда у основној или другој средњој школи, наставник ће то </w:t>
            </w:r>
            <w:r w:rsidRPr="0099626E">
              <w:rPr>
                <w:rFonts w:cs="Calibri"/>
                <w:i/>
                <w:iCs/>
              </w:rPr>
              <w:lastRenderedPageBreak/>
              <w:t>реализовати у договору са учеником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lastRenderedPageBreak/>
              <w:t>Платформе и алати који ће се користити за  реализацију наставе: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F50797">
              <w:rPr>
                <w:rFonts w:cs="Calibri"/>
                <w:color w:val="000000"/>
              </w:rPr>
              <w:t>Моја школа РТС Планета (средње музичке школе), Google учионица, апликацијеплатформе</w:t>
            </w:r>
            <w:r w:rsidRPr="0099626E">
              <w:rPr>
                <w:rFonts w:cs="Calibri"/>
              </w:rPr>
              <w:t>: viber, messinger, zoom , You Tube</w:t>
            </w:r>
            <w:r>
              <w:rPr>
                <w:rFonts w:cs="Calibri"/>
              </w:rPr>
              <w:t>канал (за пласирање виртуелних интерних часова и концерата ученика на каналу школе и каналима наставника)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Оцењивање</w:t>
            </w:r>
          </w:p>
        </w:tc>
        <w:tc>
          <w:tcPr>
            <w:tcW w:w="4508" w:type="dxa"/>
          </w:tcPr>
          <w:p w:rsidR="000C1E34" w:rsidRPr="00F50797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sz w:val="15"/>
                <w:szCs w:val="15"/>
                <w:shd w:val="clear" w:color="auto" w:fill="F8F8F8"/>
              </w:rPr>
            </w:pPr>
            <w:r w:rsidRPr="00F50797">
              <w:rPr>
                <w:rFonts w:cs="Calibri"/>
                <w:sz w:val="15"/>
                <w:szCs w:val="15"/>
                <w:shd w:val="clear" w:color="auto" w:fill="F8F8F8"/>
              </w:rPr>
              <w:t>Према:</w:t>
            </w:r>
          </w:p>
          <w:p w:rsidR="000C1E34" w:rsidRPr="00F50797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sz w:val="15"/>
                <w:szCs w:val="15"/>
                <w:shd w:val="clear" w:color="auto" w:fill="F8F8F8"/>
              </w:rPr>
            </w:pPr>
            <w:r w:rsidRPr="00F50797">
              <w:rPr>
                <w:rFonts w:cs="Calibri"/>
                <w:sz w:val="15"/>
                <w:szCs w:val="15"/>
                <w:shd w:val="clear" w:color="auto" w:fill="F8F8F8"/>
              </w:rPr>
              <w:t>Правилнику о оцењивању ученика у основном образовању и васпитању: 34/2019-177, 59/2020-7, 81/2020-69</w:t>
            </w:r>
          </w:p>
          <w:p w:rsidR="000C1E34" w:rsidRPr="00F50797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sz w:val="15"/>
                <w:szCs w:val="15"/>
                <w:shd w:val="clear" w:color="auto" w:fill="F8F8F8"/>
              </w:rPr>
            </w:pPr>
            <w:r w:rsidRPr="00F50797">
              <w:rPr>
                <w:rFonts w:cs="Calibri"/>
                <w:sz w:val="15"/>
                <w:szCs w:val="15"/>
                <w:shd w:val="clear" w:color="auto" w:fill="F8F8F8"/>
              </w:rPr>
              <w:t>Правилнику о оцењивању ученика у средњем образовању и васпитању: 82/2015-16, 59/2020-8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>Реализујесе по Упутству МПНТР од 27.11. 2020.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Реализација писаних провера знања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>Реализује се по Упутству МПНТР од 27.11. 2020.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Реализација планираних активности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>Смотре, преслушавања, интерни и јавни часови, такмичења, концерти, огледни часови, предавања, радионице, семинари, одлажу се до периода када буде могуће реализовати их у школи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Вођење педагошке документације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>Редовно. У школи. Могуће сваког радног дана у периоду од 8 до 17 часова (радно време школе у периоду од 30.11. до 18.12. )</w:t>
            </w:r>
          </w:p>
        </w:tc>
      </w:tr>
      <w:tr w:rsidR="000C1E34" w:rsidRPr="00F50797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626E">
              <w:rPr>
                <w:rFonts w:cs="Calibri"/>
                <w:b/>
                <w:bCs/>
              </w:rPr>
              <w:t>Подршка ученицима и наставницима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 xml:space="preserve">Школа ће омогућити коришћење неопходних ресурса за реализацију наставе </w:t>
            </w:r>
            <w:r w:rsidRPr="0099626E">
              <w:rPr>
                <w:rFonts w:cs="Calibri"/>
                <w:b/>
                <w:bCs/>
              </w:rPr>
              <w:t xml:space="preserve"> у школи    </w:t>
            </w:r>
            <w:r w:rsidRPr="0099626E">
              <w:rPr>
                <w:rFonts w:cs="Calibri"/>
              </w:rPr>
              <w:t>свим ученицима и наставницима који немају свој инструмент или рачунар. Потребно је да клавирски одсек и наставници упоредног клавира направе списак ученика и наставника који би користили школске инструменте и направе распоред коришћења који би садржао:</w:t>
            </w:r>
          </w:p>
          <w:p w:rsidR="000C1E34" w:rsidRPr="0099626E" w:rsidRDefault="000C1E34" w:rsidP="000C1E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име и презиме ученика</w:t>
            </w:r>
          </w:p>
          <w:p w:rsidR="000C1E34" w:rsidRPr="0099626E" w:rsidRDefault="000C1E34" w:rsidP="000C1E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термин коришћења</w:t>
            </w:r>
          </w:p>
          <w:p w:rsidR="000C1E34" w:rsidRPr="0099626E" w:rsidRDefault="000C1E34" w:rsidP="000C1E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број учионице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Распореде предати помоћнику директора како би били видљиви и на Сајту школе и достављени помоћним радницама (имати у виду радно време школе).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Рок за предају распореда: понедељак, 30. новембар, 9 часова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  <w:i/>
                <w:iCs/>
              </w:rPr>
            </w:pPr>
            <w:r w:rsidRPr="0099626E">
              <w:rPr>
                <w:rFonts w:cs="Calibri"/>
                <w:i/>
                <w:iCs/>
              </w:rPr>
              <w:t>Напомена: потребно је водити рачуна о томе да се користи само неопходан број учионица како би се олакшао посао дезинфекције помоћним радницама.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lastRenderedPageBreak/>
              <w:t>Имајући у виду пролећно искуство реализације наставе на даљину, наставници у школи могу наштимовати инструменте ученицима, извршити ситније поправке инструмента ако до те потребе дође, и реализовати консултације у циљу превазилажења тешкоћа у реализацији наставе на даљину.</w:t>
            </w:r>
          </w:p>
          <w:p w:rsidR="000C1E34" w:rsidRPr="0099626E" w:rsidRDefault="000C1E34" w:rsidP="00FC776F">
            <w:pPr>
              <w:pStyle w:val="ListParagraph"/>
              <w:spacing w:after="0" w:line="240" w:lineRule="auto"/>
              <w:rPr>
                <w:rFonts w:cs="Calibri"/>
              </w:rPr>
            </w:pPr>
            <w:r w:rsidRPr="0099626E">
              <w:rPr>
                <w:rFonts w:cs="Calibri"/>
              </w:rPr>
              <w:t>У тим случајевима обавезно водити рачуна о максималном поштовању свих епидемиолошких мера.</w:t>
            </w:r>
          </w:p>
          <w:p w:rsidR="000C1E34" w:rsidRPr="00F50797" w:rsidRDefault="000C1E34" w:rsidP="00FC776F">
            <w:pPr>
              <w:spacing w:after="0" w:line="240" w:lineRule="auto"/>
              <w:rPr>
                <w:rFonts w:cs="Calibri"/>
              </w:rPr>
            </w:pPr>
            <w:r w:rsidRPr="00F50797">
              <w:rPr>
                <w:rFonts w:cs="Calibri"/>
              </w:rPr>
              <w:t>Педагошко психолошка подршка наставницима и ученицима.</w:t>
            </w:r>
          </w:p>
        </w:tc>
      </w:tr>
      <w:tr w:rsidR="000C1E34" w:rsidRPr="0099626E" w:rsidTr="00FC776F">
        <w:tc>
          <w:tcPr>
            <w:tcW w:w="4508" w:type="dxa"/>
            <w:shd w:val="clear" w:color="auto" w:fill="E7E6E6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lastRenderedPageBreak/>
              <w:t xml:space="preserve">Седнице одељенских и седница наставничког већа и информисање родитеља о успеху и владању ученика на крају првог полугодишта </w:t>
            </w:r>
          </w:p>
        </w:tc>
        <w:tc>
          <w:tcPr>
            <w:tcW w:w="4508" w:type="dxa"/>
          </w:tcPr>
          <w:p w:rsidR="000C1E34" w:rsidRPr="0099626E" w:rsidRDefault="000C1E34" w:rsidP="00FC776F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99626E">
              <w:rPr>
                <w:rFonts w:cs="Calibri"/>
              </w:rPr>
              <w:t>Термини седница и начин информисања биће дефинисани у току децембра</w:t>
            </w:r>
          </w:p>
        </w:tc>
      </w:tr>
    </w:tbl>
    <w:p w:rsidR="000C1E34" w:rsidRPr="00785DCF" w:rsidRDefault="000C1E34" w:rsidP="006A2F5F">
      <w:pPr>
        <w:pStyle w:val="ListParagraph"/>
        <w:rPr>
          <w:sz w:val="24"/>
          <w:szCs w:val="24"/>
        </w:rPr>
      </w:pPr>
    </w:p>
    <w:p w:rsidR="006A2F5F" w:rsidRDefault="00B05BE6" w:rsidP="006A2F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У току извештајног периода </w:t>
      </w:r>
      <w:r w:rsidR="006A2F5F">
        <w:rPr>
          <w:sz w:val="24"/>
          <w:szCs w:val="24"/>
        </w:rPr>
        <w:t>директ</w:t>
      </w:r>
      <w:r>
        <w:rPr>
          <w:sz w:val="24"/>
          <w:szCs w:val="24"/>
        </w:rPr>
        <w:t>о</w:t>
      </w:r>
      <w:r w:rsidR="006A2F5F">
        <w:rPr>
          <w:sz w:val="24"/>
          <w:szCs w:val="24"/>
        </w:rPr>
        <w:t>рка школе је организовала</w:t>
      </w:r>
      <w:r w:rsidR="00CC3523">
        <w:rPr>
          <w:sz w:val="24"/>
          <w:szCs w:val="24"/>
        </w:rPr>
        <w:t xml:space="preserve"> и у сарадњи са колегама реализовала </w:t>
      </w:r>
      <w:r w:rsidR="006A2F5F">
        <w:rPr>
          <w:sz w:val="24"/>
          <w:szCs w:val="24"/>
        </w:rPr>
        <w:t xml:space="preserve"> и следеће послове:</w:t>
      </w:r>
    </w:p>
    <w:p w:rsidR="00B72DB5" w:rsidRDefault="00B72DB5" w:rsidP="006A2F5F">
      <w:pPr>
        <w:pStyle w:val="ListParagraph"/>
        <w:rPr>
          <w:sz w:val="24"/>
          <w:szCs w:val="24"/>
        </w:rPr>
      </w:pPr>
    </w:p>
    <w:p w:rsidR="00B05BE6" w:rsidRPr="000C1E34" w:rsidRDefault="000C1E34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Израду распореда писмених провера знања</w:t>
      </w:r>
    </w:p>
    <w:p w:rsidR="000C1E34" w:rsidRPr="00CC3523" w:rsidRDefault="000C1E34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Иницијално процењивање у школи</w:t>
      </w:r>
    </w:p>
    <w:p w:rsidR="00B72DB5" w:rsidRPr="00B72DB5" w:rsidRDefault="00CC3523" w:rsidP="00B72DB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План Педагошко -  инструктивног рада</w:t>
      </w:r>
    </w:p>
    <w:p w:rsidR="00CC3523" w:rsidRPr="00612DA9" w:rsidRDefault="00612DA9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Седам непосредних састанака и четири online састанка педагошког колегијума </w:t>
      </w:r>
    </w:p>
    <w:p w:rsidR="00612DA9" w:rsidRPr="00820189" w:rsidRDefault="00820189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Два састанка Тима за унапређење квалитета и развој установе</w:t>
      </w:r>
    </w:p>
    <w:p w:rsidR="00820189" w:rsidRPr="00820189" w:rsidRDefault="00820189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Два састанка тима за инклузивно образовање</w:t>
      </w:r>
    </w:p>
    <w:p w:rsidR="00820189" w:rsidRPr="00B72DB5" w:rsidRDefault="00820189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Два састанка Тима за  предузетништво и међупредметне компетенције</w:t>
      </w:r>
    </w:p>
    <w:p w:rsidR="00B72DB5" w:rsidRPr="00B72DB5" w:rsidRDefault="00B72DB5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Организација видео презентација на тему „Ученички портфолио“</w:t>
      </w:r>
    </w:p>
    <w:p w:rsidR="00B72DB5" w:rsidRPr="00B72DB5" w:rsidRDefault="00B72DB5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Организација и припрема материјала за  приказ „Примера добре праксе“ у школи</w:t>
      </w:r>
    </w:p>
    <w:p w:rsidR="00B72DB5" w:rsidRPr="00B72DB5" w:rsidRDefault="00B72DB5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Промоција рада средње музичке школе и изјашњавање родитеља и ученика по питању наставка школовањаљ у Средњој музичкој школи</w:t>
      </w:r>
    </w:p>
    <w:p w:rsidR="00B72DB5" w:rsidRPr="004D3DC6" w:rsidRDefault="00B72DB5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План стручног усавршавања </w:t>
      </w:r>
    </w:p>
    <w:p w:rsidR="004D3DC6" w:rsidRPr="004D3DC6" w:rsidRDefault="004D3DC6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Учешће у обуци из области Самовредновања у реализацији ШУ Ваљево</w:t>
      </w:r>
    </w:p>
    <w:p w:rsidR="004D3DC6" w:rsidRPr="004D3DC6" w:rsidRDefault="004D3DC6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Учешће у обуци за полагање испита за лиценцу у реализацији ЗУОВ-а</w:t>
      </w:r>
    </w:p>
    <w:p w:rsidR="004D3DC6" w:rsidRPr="000C1E34" w:rsidRDefault="004D3DC6" w:rsidP="000C1E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Израда  Истраживачког рада на тему „Утицај наставних и ваннаставних активности академских професора на квалитет рада МШ „Живорад Грбић“</w:t>
      </w:r>
    </w:p>
    <w:p w:rsidR="00DD11AA" w:rsidRPr="00DD11AA" w:rsidRDefault="00DD11AA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  <w:r w:rsidRPr="00BB511D">
        <w:rPr>
          <w:b/>
          <w:sz w:val="24"/>
          <w:szCs w:val="24"/>
        </w:rPr>
        <w:t>ОБЛАСТ КВАЛИТЕТА 2 – Настава и учење</w:t>
      </w:r>
    </w:p>
    <w:p w:rsidR="0070338E" w:rsidRDefault="0070338E" w:rsidP="002A2EEB">
      <w:pPr>
        <w:pStyle w:val="ListParagraph"/>
        <w:rPr>
          <w:b/>
          <w:sz w:val="24"/>
          <w:szCs w:val="24"/>
        </w:rPr>
      </w:pPr>
    </w:p>
    <w:p w:rsidR="00F92D07" w:rsidRDefault="00B72DB5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Како је то већ наведено у Извештају  из Области 1 ( Програмирање, планирање и извештавање), у периоду од 1. септембра до 30. новембра, целокупна настава је реализована у школи, а од 30. Новембра до 18. децембра настава је у целости организована на даљину. </w:t>
      </w:r>
    </w:p>
    <w:p w:rsidR="00B72DB5" w:rsidRDefault="004D3DC6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Ј</w:t>
      </w:r>
      <w:r w:rsidR="00B72DB5">
        <w:rPr>
          <w:rFonts w:ascii="Calibri" w:eastAsia="Calibri" w:hAnsi="Calibri" w:cs="Times New Roman"/>
          <w:sz w:val="24"/>
          <w:szCs w:val="24"/>
        </w:rPr>
        <w:t>едан број ученик</w:t>
      </w:r>
      <w:r>
        <w:rPr>
          <w:rFonts w:ascii="Calibri" w:eastAsia="Calibri" w:hAnsi="Calibri" w:cs="Times New Roman"/>
          <w:sz w:val="24"/>
          <w:szCs w:val="24"/>
        </w:rPr>
        <w:t xml:space="preserve">а је од почетка септембра ( 18 ученика на нивоу основне и средње музичке школе), </w:t>
      </w:r>
      <w:r w:rsidR="003A3579">
        <w:rPr>
          <w:rFonts w:ascii="Calibri" w:eastAsia="Calibri" w:hAnsi="Calibri" w:cs="Times New Roman"/>
          <w:sz w:val="24"/>
          <w:szCs w:val="24"/>
        </w:rPr>
        <w:t xml:space="preserve">у складу са изабраним моделом, похађао </w:t>
      </w:r>
      <w:r w:rsidR="005044F1">
        <w:rPr>
          <w:rFonts w:ascii="Calibri" w:eastAsia="Calibri" w:hAnsi="Calibri" w:cs="Times New Roman"/>
          <w:sz w:val="24"/>
          <w:szCs w:val="24"/>
        </w:rPr>
        <w:t>наставу на даљину</w:t>
      </w:r>
      <w:r>
        <w:rPr>
          <w:rFonts w:ascii="Calibri" w:eastAsia="Calibri" w:hAnsi="Calibri" w:cs="Times New Roman"/>
          <w:sz w:val="24"/>
          <w:szCs w:val="24"/>
        </w:rPr>
        <w:t xml:space="preserve">. Школа је за ове ученике </w:t>
      </w:r>
      <w:r w:rsidR="005044F1">
        <w:rPr>
          <w:rFonts w:ascii="Calibri" w:eastAsia="Calibri" w:hAnsi="Calibri" w:cs="Times New Roman"/>
          <w:sz w:val="24"/>
          <w:szCs w:val="24"/>
        </w:rPr>
        <w:t xml:space="preserve"> правовремено организовала наставу путем Гугл учионице, упућивањем на наставне садржаје намењене ученицима уметничких школа на  РТС Планета</w:t>
      </w:r>
      <w:r w:rsidR="003A3579">
        <w:rPr>
          <w:rFonts w:ascii="Calibri" w:eastAsia="Calibri" w:hAnsi="Calibri" w:cs="Times New Roman"/>
          <w:sz w:val="24"/>
          <w:szCs w:val="24"/>
        </w:rPr>
        <w:t>, слањем наставног матеирјала и реализацијом видео часова преко Viber и Zoom апл</w:t>
      </w:r>
      <w:r w:rsidR="008214B4">
        <w:rPr>
          <w:rFonts w:ascii="Calibri" w:eastAsia="Calibri" w:hAnsi="Calibri" w:cs="Times New Roman"/>
          <w:sz w:val="24"/>
          <w:szCs w:val="24"/>
        </w:rPr>
        <w:t>икације. За све ученике, оцењи</w:t>
      </w:r>
      <w:r w:rsidR="003A3579">
        <w:rPr>
          <w:rFonts w:ascii="Calibri" w:eastAsia="Calibri" w:hAnsi="Calibri" w:cs="Times New Roman"/>
          <w:sz w:val="24"/>
          <w:szCs w:val="24"/>
        </w:rPr>
        <w:t>вање је организовано у школи.</w:t>
      </w:r>
    </w:p>
    <w:p w:rsidR="008214B4" w:rsidRDefault="008214B4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 првој недељи септембра у школи је организовано иницијално процењивање. На основу резултата , креирани су и планови допунске и додатне наставе на нивоу основне и средње школе.</w:t>
      </w:r>
    </w:p>
    <w:p w:rsidR="003A3579" w:rsidRDefault="003A3579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У току извештајног периода, директор и педагог школе обишле су укупно 18 часова индивидуалне и групне наставе. Видљив је напредак у ангажовању ученика у наставном процесу ( ученици активнији, радозналији, приметно присуство вршњачког учења), присуство савремених наставних метода ( мултимедијални садржаји, квизови, едукативне игре, power point презентације...) . И наставници и у ченици су исказали жељу за организацијом master class програма академских професора чију реализацију планирамо чим околности то дозволе. </w:t>
      </w:r>
    </w:p>
    <w:p w:rsidR="003A3579" w:rsidRDefault="003A3579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 даље је  присутан недовољно ажуран однос према вођењу документације као и недовољно присуство тимског рада у оквиру одсека</w:t>
      </w:r>
      <w:r w:rsidR="00D67F17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D67F17" w:rsidRDefault="00D67F17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Оно што се може приметити као известан напредак у области „Настава и учење“ јесте већа заинтересованост за реализацију заједничких огледних часова у реализацији неколико одсека. Наставници су углавном одабрали теме које покривају шири спектар комп</w:t>
      </w:r>
      <w:r w:rsidR="00555F80">
        <w:rPr>
          <w:rFonts w:ascii="Calibri" w:eastAsia="Calibri" w:hAnsi="Calibri" w:cs="Times New Roman"/>
          <w:sz w:val="24"/>
          <w:szCs w:val="24"/>
        </w:rPr>
        <w:t>онен</w:t>
      </w:r>
      <w:r>
        <w:rPr>
          <w:rFonts w:ascii="Calibri" w:eastAsia="Calibri" w:hAnsi="Calibri" w:cs="Times New Roman"/>
          <w:sz w:val="24"/>
          <w:szCs w:val="24"/>
        </w:rPr>
        <w:t xml:space="preserve">ти музичког образовања, занимљивих на нивоу школе. </w:t>
      </w:r>
    </w:p>
    <w:p w:rsidR="00D67F17" w:rsidRDefault="00D67F17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Услед специфичних услова рада изазваних  епидемиолошким мерама, интерни и јавни часови у школи су одржавани, али без присуства публике, са минималним бројем тачака. Имајући у виду да је јавни наступ у музичкој школи коначан продукт  и провера  наставног процеса у учионици, чин који доказује његову ефективност и исход, мора се закључити да је оваква ситуација утицала на свеукупну мотивисаност свих актера школског живота. Да би умањила негативне последице „сведеног“ начина рада, извесне лимитираности и немотивационог стваралачког амбијента, директорка школе је иницирала циклус празничних концерата „Удахни музику“ који су емитовани на Телевизији Марш у периоду од 20. децембра до 14. јануара. Наставници и ученици школе су припремили укупно 53 извођења  најуспешнијих појединаца, камерних ансамбала и оркестара школе насталих у пеироду од 1. септембра до 30. новембра.</w:t>
      </w:r>
    </w:p>
    <w:p w:rsidR="00D67F17" w:rsidRPr="003E1278" w:rsidRDefault="00D67F17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Имајући у виду </w:t>
      </w:r>
      <w:r w:rsidR="003E1278">
        <w:rPr>
          <w:rFonts w:ascii="Calibri" w:eastAsia="Calibri" w:hAnsi="Calibri" w:cs="Times New Roman"/>
          <w:sz w:val="24"/>
          <w:szCs w:val="24"/>
        </w:rPr>
        <w:t>велику присутност наставе на даљину у периоду првог полугодишта, педагог школе</w:t>
      </w:r>
      <w:r w:rsidR="00555F80">
        <w:rPr>
          <w:rFonts w:ascii="Calibri" w:eastAsia="Calibri" w:hAnsi="Calibri" w:cs="Times New Roman"/>
          <w:sz w:val="24"/>
          <w:szCs w:val="24"/>
        </w:rPr>
        <w:t xml:space="preserve"> је обави</w:t>
      </w:r>
      <w:r w:rsidR="003E1278">
        <w:rPr>
          <w:rFonts w:ascii="Calibri" w:eastAsia="Calibri" w:hAnsi="Calibri" w:cs="Times New Roman"/>
          <w:sz w:val="24"/>
          <w:szCs w:val="24"/>
        </w:rPr>
        <w:t>ла истраживање на тему „Настава на даљину у МШ „Жи</w:t>
      </w:r>
      <w:r w:rsidR="00555F80">
        <w:rPr>
          <w:rFonts w:ascii="Calibri" w:eastAsia="Calibri" w:hAnsi="Calibri" w:cs="Times New Roman"/>
          <w:sz w:val="24"/>
          <w:szCs w:val="24"/>
        </w:rPr>
        <w:t>ворад Грбић“ у циљу пружања ква</w:t>
      </w:r>
      <w:r w:rsidR="003E1278">
        <w:rPr>
          <w:rFonts w:ascii="Calibri" w:eastAsia="Calibri" w:hAnsi="Calibri" w:cs="Times New Roman"/>
          <w:sz w:val="24"/>
          <w:szCs w:val="24"/>
        </w:rPr>
        <w:t>литетније  помоћи ученицима и наставницима.</w:t>
      </w:r>
    </w:p>
    <w:p w:rsidR="003E1278" w:rsidRDefault="003E1278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У периоду од 1. септембра у школи су организоване две видео презентације на тему Наставе на даљину</w:t>
      </w:r>
    </w:p>
    <w:p w:rsidR="003E1278" w:rsidRDefault="003E1278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15. септембар – Гугл учионица (реализатор: проф. Небојша Настић)</w:t>
      </w:r>
    </w:p>
    <w:p w:rsidR="003E1278" w:rsidRPr="003E1278" w:rsidRDefault="003E1278" w:rsidP="00F92D0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23. новембар -  Музика и учење на даљину (реализатор: др Ира Проданов)</w:t>
      </w:r>
    </w:p>
    <w:p w:rsidR="00704D12" w:rsidRDefault="00704D12" w:rsidP="00704D12">
      <w:pPr>
        <w:rPr>
          <w:rFonts w:ascii="Calibri" w:eastAsia="Calibri" w:hAnsi="Calibri" w:cs="Times New Roman"/>
          <w:sz w:val="24"/>
          <w:szCs w:val="24"/>
        </w:rPr>
      </w:pPr>
    </w:p>
    <w:p w:rsidR="00704D12" w:rsidRDefault="00704D12" w:rsidP="00704D12">
      <w:pPr>
        <w:rPr>
          <w:rFonts w:ascii="Calibri" w:eastAsia="Calibri" w:hAnsi="Calibri" w:cs="Times New Roman"/>
          <w:sz w:val="24"/>
          <w:szCs w:val="24"/>
        </w:rPr>
      </w:pPr>
    </w:p>
    <w:p w:rsidR="00D33D5E" w:rsidRPr="00704D12" w:rsidRDefault="00704D12" w:rsidP="00704D12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D33D5E" w:rsidRPr="00704D12">
        <w:rPr>
          <w:b/>
          <w:sz w:val="24"/>
          <w:szCs w:val="24"/>
        </w:rPr>
        <w:t>ОБЛАСТ КВАЛИТЕТА 3  -  Образовна постигнућа ученика</w:t>
      </w:r>
    </w:p>
    <w:p w:rsidR="00D33D5E" w:rsidRDefault="00D33D5E" w:rsidP="00361CC4">
      <w:pPr>
        <w:pStyle w:val="ListParagraph"/>
        <w:ind w:left="1080"/>
        <w:rPr>
          <w:b/>
          <w:sz w:val="24"/>
          <w:szCs w:val="24"/>
        </w:rPr>
      </w:pPr>
    </w:p>
    <w:p w:rsidR="00DD3881" w:rsidRDefault="00F92D07" w:rsidP="00F92D0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И поред чињенице да </w:t>
      </w:r>
      <w:r w:rsidR="008D4FEC">
        <w:rPr>
          <w:sz w:val="24"/>
          <w:szCs w:val="24"/>
        </w:rPr>
        <w:t xml:space="preserve">је </w:t>
      </w:r>
      <w:r>
        <w:rPr>
          <w:sz w:val="24"/>
          <w:szCs w:val="24"/>
        </w:rPr>
        <w:t xml:space="preserve"> такмичарска сезона у школској 2020/2021</w:t>
      </w:r>
      <w:r w:rsidR="002D32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готово изостала</w:t>
      </w:r>
      <w:r w:rsidR="008D4FEC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имајући у виду да је период </w:t>
      </w:r>
      <w:r w:rsidR="008D4FEC">
        <w:rPr>
          <w:sz w:val="24"/>
          <w:szCs w:val="24"/>
        </w:rPr>
        <w:t xml:space="preserve">септембар – јануар, </w:t>
      </w:r>
      <w:r>
        <w:rPr>
          <w:sz w:val="24"/>
          <w:szCs w:val="24"/>
        </w:rPr>
        <w:t xml:space="preserve"> време </w:t>
      </w:r>
      <w:r w:rsidR="008D4FEC">
        <w:rPr>
          <w:sz w:val="24"/>
          <w:szCs w:val="24"/>
        </w:rPr>
        <w:t xml:space="preserve">када се сва такмичења више планирају а јако мало реализују </w:t>
      </w:r>
      <w:r>
        <w:rPr>
          <w:sz w:val="24"/>
          <w:szCs w:val="24"/>
        </w:rPr>
        <w:t xml:space="preserve">, </w:t>
      </w:r>
      <w:r w:rsidR="008D4FEC">
        <w:rPr>
          <w:sz w:val="24"/>
          <w:szCs w:val="24"/>
        </w:rPr>
        <w:t xml:space="preserve">имамо ситуацију  у којој се  </w:t>
      </w:r>
      <w:r>
        <w:rPr>
          <w:sz w:val="24"/>
          <w:szCs w:val="24"/>
        </w:rPr>
        <w:t>МШ „Живорад Грбић“ може похвалити значајним бројем пр</w:t>
      </w:r>
      <w:r w:rsidR="002D3244">
        <w:rPr>
          <w:sz w:val="24"/>
          <w:szCs w:val="24"/>
        </w:rPr>
        <w:t xml:space="preserve">изнања и награда и у години у </w:t>
      </w:r>
      <w:r w:rsidR="008D4FEC">
        <w:rPr>
          <w:sz w:val="24"/>
          <w:szCs w:val="24"/>
        </w:rPr>
        <w:t xml:space="preserve">којој је музика практично потпуно утишана на концертном и такмичарском подијуму. . </w:t>
      </w:r>
      <w:r>
        <w:rPr>
          <w:sz w:val="24"/>
          <w:szCs w:val="24"/>
        </w:rPr>
        <w:t xml:space="preserve"> У </w:t>
      </w:r>
      <w:r w:rsidR="008D4FEC">
        <w:rPr>
          <w:sz w:val="24"/>
          <w:szCs w:val="24"/>
        </w:rPr>
        <w:t xml:space="preserve">току извештајног периода, </w:t>
      </w:r>
      <w:r w:rsidR="003B7C1A">
        <w:rPr>
          <w:sz w:val="24"/>
          <w:szCs w:val="24"/>
        </w:rPr>
        <w:t xml:space="preserve"> освојено је укупно </w:t>
      </w:r>
      <w:r w:rsidR="00704D12">
        <w:rPr>
          <w:sz w:val="24"/>
          <w:szCs w:val="24"/>
        </w:rPr>
        <w:t>41</w:t>
      </w:r>
      <w:r w:rsidR="00555F80"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 xml:space="preserve">награда на </w:t>
      </w:r>
      <w:r w:rsidR="008D4FEC">
        <w:rPr>
          <w:sz w:val="24"/>
          <w:szCs w:val="24"/>
        </w:rPr>
        <w:t>12</w:t>
      </w:r>
      <w:r w:rsidR="003B7C1A">
        <w:rPr>
          <w:sz w:val="24"/>
          <w:szCs w:val="24"/>
        </w:rPr>
        <w:t xml:space="preserve"> такмичења (</w:t>
      </w:r>
      <w:r w:rsidR="008D4FEC">
        <w:rPr>
          <w:sz w:val="24"/>
          <w:szCs w:val="24"/>
        </w:rPr>
        <w:t xml:space="preserve">4 </w:t>
      </w:r>
      <w:r w:rsidR="003B7C1A">
        <w:rPr>
          <w:sz w:val="24"/>
          <w:szCs w:val="24"/>
        </w:rPr>
        <w:t>међународн</w:t>
      </w:r>
      <w:r w:rsidR="008D4FEC">
        <w:rPr>
          <w:sz w:val="24"/>
          <w:szCs w:val="24"/>
        </w:rPr>
        <w:t>а и 3 републичка такмичења</w:t>
      </w:r>
      <w:r w:rsidR="003B7C1A">
        <w:rPr>
          <w:sz w:val="24"/>
          <w:szCs w:val="24"/>
        </w:rPr>
        <w:t>).</w:t>
      </w:r>
    </w:p>
    <w:p w:rsidR="003B7C1A" w:rsidRDefault="003B7C1A" w:rsidP="00F92D07">
      <w:pPr>
        <w:pStyle w:val="ListParagraph"/>
        <w:ind w:left="1080"/>
        <w:rPr>
          <w:sz w:val="24"/>
          <w:szCs w:val="24"/>
        </w:rPr>
      </w:pPr>
    </w:p>
    <w:p w:rsidR="003B7C1A" w:rsidRDefault="003B7C1A" w:rsidP="00F92D07">
      <w:pPr>
        <w:pStyle w:val="ListParagraph"/>
        <w:ind w:left="1080"/>
        <w:rPr>
          <w:i/>
          <w:sz w:val="24"/>
          <w:szCs w:val="24"/>
        </w:rPr>
      </w:pPr>
      <w:r w:rsidRPr="003B7C1A">
        <w:rPr>
          <w:i/>
          <w:sz w:val="24"/>
          <w:szCs w:val="24"/>
        </w:rPr>
        <w:t>Успеси ученика по одсецима</w:t>
      </w:r>
    </w:p>
    <w:p w:rsidR="003B7C1A" w:rsidRDefault="003B7C1A" w:rsidP="00F92D07">
      <w:pPr>
        <w:pStyle w:val="ListParagraph"/>
        <w:ind w:left="1080"/>
        <w:rPr>
          <w:i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103"/>
        <w:gridCol w:w="4059"/>
      </w:tblGrid>
      <w:tr w:rsidR="003B7C1A" w:rsidTr="003B7C1A">
        <w:tc>
          <w:tcPr>
            <w:tcW w:w="4583" w:type="dxa"/>
            <w:shd w:val="clear" w:color="auto" w:fill="EEECE1" w:themeFill="background2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Одсек</w:t>
            </w:r>
          </w:p>
        </w:tc>
        <w:tc>
          <w:tcPr>
            <w:tcW w:w="4583" w:type="dxa"/>
            <w:shd w:val="clear" w:color="auto" w:fill="EEECE1" w:themeFill="background2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награда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теоретски</w:t>
            </w:r>
          </w:p>
        </w:tc>
        <w:tc>
          <w:tcPr>
            <w:tcW w:w="4583" w:type="dxa"/>
          </w:tcPr>
          <w:p w:rsidR="003B7C1A" w:rsidRPr="008D4FEC" w:rsidRDefault="008D4FEC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клавир</w:t>
            </w:r>
          </w:p>
        </w:tc>
        <w:tc>
          <w:tcPr>
            <w:tcW w:w="4583" w:type="dxa"/>
          </w:tcPr>
          <w:p w:rsidR="003B7C1A" w:rsidRPr="008D4FEC" w:rsidRDefault="008D4FEC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гудачи</w:t>
            </w:r>
          </w:p>
        </w:tc>
        <w:tc>
          <w:tcPr>
            <w:tcW w:w="4583" w:type="dxa"/>
          </w:tcPr>
          <w:p w:rsidR="003B7C1A" w:rsidRPr="008D4FEC" w:rsidRDefault="008D4FEC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дувачи</w:t>
            </w:r>
          </w:p>
        </w:tc>
        <w:tc>
          <w:tcPr>
            <w:tcW w:w="4583" w:type="dxa"/>
          </w:tcPr>
          <w:p w:rsidR="003B7C1A" w:rsidRPr="008D4FEC" w:rsidRDefault="008D4FEC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гитара</w:t>
            </w:r>
          </w:p>
        </w:tc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хармоника</w:t>
            </w:r>
          </w:p>
        </w:tc>
        <w:tc>
          <w:tcPr>
            <w:tcW w:w="4583" w:type="dxa"/>
          </w:tcPr>
          <w:p w:rsidR="003B7C1A" w:rsidRPr="008D4FEC" w:rsidRDefault="008D4FEC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B7C1A" w:rsidTr="003B7C1A"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певачи</w:t>
            </w:r>
          </w:p>
        </w:tc>
        <w:tc>
          <w:tcPr>
            <w:tcW w:w="4583" w:type="dxa"/>
          </w:tcPr>
          <w:p w:rsidR="003B7C1A" w:rsidRDefault="003B7C1A" w:rsidP="00F92D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3B7C1A" w:rsidRPr="003B7C1A" w:rsidRDefault="003B7C1A" w:rsidP="00F92D07">
      <w:pPr>
        <w:pStyle w:val="ListParagraph"/>
        <w:ind w:left="1080"/>
        <w:rPr>
          <w:sz w:val="24"/>
          <w:szCs w:val="24"/>
        </w:rPr>
      </w:pPr>
    </w:p>
    <w:p w:rsidR="000A6703" w:rsidRPr="008D4FEC" w:rsidRDefault="003B7C1A" w:rsidP="008D4FE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На такмичењима је учествовало укупно </w:t>
      </w:r>
      <w:r w:rsidR="008D4FEC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ученика из класа </w:t>
      </w:r>
      <w:r w:rsidR="008D4FEC">
        <w:rPr>
          <w:sz w:val="24"/>
          <w:szCs w:val="24"/>
        </w:rPr>
        <w:t>1</w:t>
      </w:r>
      <w:r>
        <w:rPr>
          <w:sz w:val="24"/>
          <w:szCs w:val="24"/>
        </w:rPr>
        <w:t>1 наставника.</w:t>
      </w:r>
    </w:p>
    <w:p w:rsidR="003B7C1A" w:rsidRDefault="003B7C1A" w:rsidP="00F92D07">
      <w:pPr>
        <w:pStyle w:val="ListParagraph"/>
        <w:ind w:left="1080"/>
        <w:rPr>
          <w:sz w:val="24"/>
          <w:szCs w:val="24"/>
        </w:rPr>
      </w:pPr>
    </w:p>
    <w:p w:rsidR="003B7C1A" w:rsidRPr="00F92D07" w:rsidRDefault="003B7C1A" w:rsidP="00F92D07">
      <w:pPr>
        <w:pStyle w:val="ListParagraph"/>
        <w:ind w:left="1080"/>
        <w:rPr>
          <w:sz w:val="24"/>
          <w:szCs w:val="24"/>
        </w:rPr>
      </w:pPr>
    </w:p>
    <w:p w:rsidR="00EC0B66" w:rsidRDefault="00EC0B66" w:rsidP="00361CC4">
      <w:pPr>
        <w:pStyle w:val="ListParagraph"/>
        <w:ind w:left="1080"/>
        <w:rPr>
          <w:sz w:val="24"/>
          <w:szCs w:val="24"/>
        </w:rPr>
      </w:pPr>
    </w:p>
    <w:p w:rsidR="00EC0B66" w:rsidRPr="00555F80" w:rsidRDefault="00EC0B66" w:rsidP="00555F80">
      <w:pPr>
        <w:rPr>
          <w:b/>
          <w:sz w:val="24"/>
          <w:szCs w:val="24"/>
        </w:rPr>
      </w:pPr>
      <w:r w:rsidRPr="00555F80">
        <w:rPr>
          <w:b/>
          <w:sz w:val="24"/>
          <w:szCs w:val="24"/>
        </w:rPr>
        <w:t>ОБЛАСТ КВАЛИТЕТА 4 – Подршка ученицима</w:t>
      </w:r>
    </w:p>
    <w:p w:rsidR="008214B4" w:rsidRDefault="008214B4" w:rsidP="00361CC4">
      <w:pPr>
        <w:pStyle w:val="ListParagraph"/>
        <w:ind w:left="1080"/>
        <w:rPr>
          <w:b/>
          <w:sz w:val="24"/>
          <w:szCs w:val="24"/>
        </w:rPr>
      </w:pPr>
    </w:p>
    <w:p w:rsidR="008214B4" w:rsidRDefault="008214B4" w:rsidP="00361CC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У току извештајног периода школа је у оквиру програма подршке ученицима реализовала следеће активности:</w:t>
      </w:r>
    </w:p>
    <w:p w:rsidR="008214B4" w:rsidRDefault="008214B4" w:rsidP="00361CC4">
      <w:pPr>
        <w:pStyle w:val="ListParagraph"/>
        <w:ind w:left="1080"/>
        <w:rPr>
          <w:sz w:val="24"/>
          <w:szCs w:val="24"/>
        </w:rPr>
      </w:pPr>
    </w:p>
    <w:p w:rsidR="008214B4" w:rsidRDefault="00AF5F51" w:rsidP="008214B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Бесплатно коришћење школских инструмената за ученике слабијег имовног стања</w:t>
      </w:r>
    </w:p>
    <w:p w:rsidR="00AF5F51" w:rsidRDefault="00AF5F51" w:rsidP="008214B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Финансирање учешћа на  master class програму проф. Матеја Зупана ( Академија за гласбо – Љубљана) за три ученице флауте у средњој школи</w:t>
      </w:r>
    </w:p>
    <w:p w:rsidR="00AF5F51" w:rsidRDefault="00AF5F51" w:rsidP="008214B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Покретање секције „Школски радио“ на иницијативу Ученичког парламента, и покретање сарадње са тимом „ВАлтернатива“ радија у циљу реализације едукативних радионица за  чланове секције</w:t>
      </w:r>
    </w:p>
    <w:p w:rsidR="00AF5F51" w:rsidRDefault="00AF5F51" w:rsidP="008214B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Организација наставе физичког васпитања на базену Техничке школе ( ова активност је обустављена због погоршања епидемиолошке ситуације)</w:t>
      </w:r>
    </w:p>
    <w:p w:rsidR="00AF5F51" w:rsidRDefault="00AF5F51" w:rsidP="00AF5F51">
      <w:pPr>
        <w:pStyle w:val="ListParagraph"/>
        <w:rPr>
          <w:sz w:val="24"/>
          <w:szCs w:val="24"/>
        </w:rPr>
      </w:pPr>
    </w:p>
    <w:p w:rsidR="00AF5F51" w:rsidRPr="00AF5F51" w:rsidRDefault="00AF5F51" w:rsidP="00AF5F51">
      <w:pPr>
        <w:pStyle w:val="ListParagraph"/>
        <w:rPr>
          <w:b/>
          <w:sz w:val="24"/>
          <w:szCs w:val="24"/>
        </w:rPr>
      </w:pPr>
      <w:r w:rsidRPr="00AF5F51">
        <w:rPr>
          <w:b/>
          <w:sz w:val="24"/>
          <w:szCs w:val="24"/>
        </w:rPr>
        <w:t>За време реализације наставе на даљину, школа је у оквиру п</w:t>
      </w:r>
      <w:r w:rsidR="00555F80">
        <w:rPr>
          <w:b/>
          <w:sz w:val="24"/>
          <w:szCs w:val="24"/>
        </w:rPr>
        <w:t>одршке ученицима реализова</w:t>
      </w:r>
      <w:r w:rsidR="00555F80">
        <w:rPr>
          <w:b/>
          <w:sz w:val="24"/>
          <w:szCs w:val="24"/>
          <w:lang/>
        </w:rPr>
        <w:t xml:space="preserve">ла </w:t>
      </w:r>
      <w:r w:rsidRPr="00AF5F51">
        <w:rPr>
          <w:b/>
          <w:sz w:val="24"/>
          <w:szCs w:val="24"/>
        </w:rPr>
        <w:t xml:space="preserve"> следеће активности:</w:t>
      </w:r>
    </w:p>
    <w:p w:rsidR="00AF5F51" w:rsidRDefault="00AF5F51" w:rsidP="00AF5F51">
      <w:pPr>
        <w:pStyle w:val="ListParagraph"/>
        <w:rPr>
          <w:sz w:val="24"/>
          <w:szCs w:val="24"/>
        </w:rPr>
      </w:pPr>
    </w:p>
    <w:p w:rsidR="00AF5F51" w:rsidRDefault="00AF5F51" w:rsidP="00AF5F51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>
        <w:rPr>
          <w:rFonts w:cs="Calibri"/>
        </w:rPr>
        <w:t>Школа је  омогућила</w:t>
      </w:r>
      <w:r w:rsidRPr="0099626E">
        <w:rPr>
          <w:rFonts w:cs="Calibri"/>
        </w:rPr>
        <w:t xml:space="preserve"> коришћење неопходних ресурса за реализацију наставе </w:t>
      </w:r>
      <w:r w:rsidRPr="0099626E">
        <w:rPr>
          <w:rFonts w:cs="Calibri"/>
          <w:b/>
          <w:bCs/>
        </w:rPr>
        <w:t xml:space="preserve"> у школи    </w:t>
      </w:r>
      <w:r w:rsidRPr="0099626E">
        <w:rPr>
          <w:rFonts w:cs="Calibri"/>
        </w:rPr>
        <w:t>свим ученицима и наставницима који немају свој и</w:t>
      </w:r>
      <w:r>
        <w:rPr>
          <w:rFonts w:cs="Calibri"/>
        </w:rPr>
        <w:t xml:space="preserve">нструмент или рачунар. </w:t>
      </w:r>
    </w:p>
    <w:p w:rsidR="00AF5F51" w:rsidRPr="00AF5F51" w:rsidRDefault="00AF5F51" w:rsidP="00A317DB">
      <w:pPr>
        <w:pStyle w:val="ListParagraph"/>
        <w:spacing w:after="0" w:line="240" w:lineRule="auto"/>
        <w:rPr>
          <w:rFonts w:cs="Calibri"/>
        </w:rPr>
      </w:pPr>
    </w:p>
    <w:p w:rsidR="00A317DB" w:rsidRDefault="00A317DB" w:rsidP="00A317D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99626E">
        <w:rPr>
          <w:rFonts w:cs="Calibri"/>
        </w:rPr>
        <w:t xml:space="preserve">наставници </w:t>
      </w:r>
      <w:r>
        <w:rPr>
          <w:rFonts w:cs="Calibri"/>
        </w:rPr>
        <w:t xml:space="preserve"> су у школи могли </w:t>
      </w:r>
      <w:r w:rsidRPr="0099626E">
        <w:rPr>
          <w:rFonts w:cs="Calibri"/>
        </w:rPr>
        <w:t>наштимовати инструменте ученицима, извршити ситније поправке инструмента ако до те потребе дође, и реализовати консултације у циљу превазилажења тешкоћа у реализацији наставе на даљину.</w:t>
      </w:r>
    </w:p>
    <w:p w:rsidR="00A317DB" w:rsidRPr="00A317DB" w:rsidRDefault="00A317DB" w:rsidP="00A317DB">
      <w:pPr>
        <w:pStyle w:val="ListParagraph"/>
        <w:rPr>
          <w:rFonts w:cs="Calibri"/>
        </w:rPr>
      </w:pPr>
    </w:p>
    <w:p w:rsidR="00A317DB" w:rsidRPr="0099626E" w:rsidRDefault="00A317DB" w:rsidP="00A317DB">
      <w:pPr>
        <w:pStyle w:val="ListParagraph"/>
        <w:spacing w:after="0" w:line="240" w:lineRule="auto"/>
        <w:rPr>
          <w:rFonts w:cs="Calibri"/>
        </w:rPr>
      </w:pPr>
    </w:p>
    <w:p w:rsidR="00A317DB" w:rsidRDefault="00A317DB" w:rsidP="00A317D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99626E">
        <w:rPr>
          <w:rFonts w:cs="Calibri"/>
        </w:rPr>
        <w:t>У тим случајевима обавезно</w:t>
      </w:r>
      <w:r>
        <w:rPr>
          <w:rFonts w:cs="Calibri"/>
        </w:rPr>
        <w:t xml:space="preserve"> је  вођено </w:t>
      </w:r>
      <w:r w:rsidRPr="0099626E">
        <w:rPr>
          <w:rFonts w:cs="Calibri"/>
        </w:rPr>
        <w:t xml:space="preserve"> рачуна о максималном поштовању свих епидемиолошких мера.</w:t>
      </w:r>
    </w:p>
    <w:p w:rsidR="00A317DB" w:rsidRPr="0099626E" w:rsidRDefault="00A317DB" w:rsidP="00A317DB">
      <w:pPr>
        <w:pStyle w:val="ListParagraph"/>
        <w:spacing w:after="0" w:line="240" w:lineRule="auto"/>
        <w:rPr>
          <w:rFonts w:cs="Calibri"/>
        </w:rPr>
      </w:pPr>
    </w:p>
    <w:p w:rsidR="00AF5F51" w:rsidRPr="008214B4" w:rsidRDefault="00A317DB" w:rsidP="00A317D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rFonts w:cs="Calibri"/>
        </w:rPr>
        <w:t>Педагог школе је свакодневно обављала педагошко психолошку  подршку</w:t>
      </w:r>
      <w:r w:rsidRPr="00F50797">
        <w:rPr>
          <w:rFonts w:cs="Calibri"/>
        </w:rPr>
        <w:t xml:space="preserve"> </w:t>
      </w:r>
      <w:r>
        <w:rPr>
          <w:rFonts w:cs="Calibri"/>
        </w:rPr>
        <w:t xml:space="preserve">са </w:t>
      </w:r>
      <w:r w:rsidRPr="00F50797">
        <w:rPr>
          <w:rFonts w:cs="Calibri"/>
        </w:rPr>
        <w:t>наставницима и ученицима.</w:t>
      </w:r>
    </w:p>
    <w:p w:rsidR="00276B82" w:rsidRDefault="00276B82" w:rsidP="00361CC4">
      <w:pPr>
        <w:pStyle w:val="ListParagraph"/>
        <w:ind w:left="1080"/>
        <w:rPr>
          <w:b/>
          <w:sz w:val="24"/>
          <w:szCs w:val="24"/>
        </w:rPr>
      </w:pPr>
    </w:p>
    <w:p w:rsidR="008214B4" w:rsidRPr="008214B4" w:rsidRDefault="008214B4" w:rsidP="00361CC4">
      <w:pPr>
        <w:pStyle w:val="ListParagraph"/>
        <w:ind w:left="1080"/>
        <w:rPr>
          <w:b/>
          <w:sz w:val="24"/>
          <w:szCs w:val="24"/>
        </w:rPr>
      </w:pPr>
    </w:p>
    <w:p w:rsidR="009F0D7F" w:rsidRDefault="009F0D7F" w:rsidP="009F0D7F">
      <w:pPr>
        <w:rPr>
          <w:b/>
          <w:sz w:val="24"/>
          <w:szCs w:val="24"/>
        </w:rPr>
      </w:pPr>
      <w:r w:rsidRPr="009F0D7F">
        <w:rPr>
          <w:b/>
          <w:sz w:val="24"/>
          <w:szCs w:val="24"/>
        </w:rPr>
        <w:t>ОБЛАСТ КВАЛИТЕТА 5</w:t>
      </w:r>
      <w:r>
        <w:rPr>
          <w:b/>
          <w:sz w:val="24"/>
          <w:szCs w:val="24"/>
        </w:rPr>
        <w:t xml:space="preserve"> – ЕТОС</w:t>
      </w:r>
    </w:p>
    <w:p w:rsidR="00C52844" w:rsidRDefault="00A317DB" w:rsidP="00F14BA2">
      <w:pPr>
        <w:rPr>
          <w:sz w:val="24"/>
          <w:szCs w:val="24"/>
        </w:rPr>
      </w:pPr>
      <w:r>
        <w:rPr>
          <w:sz w:val="24"/>
          <w:szCs w:val="24"/>
        </w:rPr>
        <w:t xml:space="preserve">Активности везане за </w:t>
      </w:r>
      <w:r w:rsidR="003D7BF3">
        <w:rPr>
          <w:sz w:val="24"/>
          <w:szCs w:val="24"/>
        </w:rPr>
        <w:t>ЕТОС , приказаћу кроз њихов утицај на оствареност појединих индикатора, којима се вреднује квалитет ове области а које су се реалиозвале у току извештајног периода.</w:t>
      </w:r>
    </w:p>
    <w:p w:rsidR="003D7BF3" w:rsidRDefault="003D7BF3" w:rsidP="00F14BA2">
      <w:pPr>
        <w:rPr>
          <w:sz w:val="24"/>
          <w:szCs w:val="24"/>
        </w:rPr>
      </w:pPr>
    </w:p>
    <w:p w:rsidR="003D7BF3" w:rsidRPr="00A317DB" w:rsidRDefault="003D7BF3" w:rsidP="00F14BA2">
      <w:pPr>
        <w:rPr>
          <w:sz w:val="24"/>
          <w:szCs w:val="24"/>
        </w:rPr>
      </w:pPr>
    </w:p>
    <w:p w:rsidR="002368E4" w:rsidRDefault="002368E4" w:rsidP="00F14BA2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85"/>
        <w:gridCol w:w="3676"/>
        <w:gridCol w:w="358"/>
        <w:gridCol w:w="358"/>
        <w:gridCol w:w="358"/>
        <w:gridCol w:w="358"/>
        <w:gridCol w:w="2849"/>
      </w:tblGrid>
      <w:tr w:rsidR="003D7BF3" w:rsidTr="00704D12">
        <w:trPr>
          <w:trHeight w:val="521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Стандард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и</w:t>
            </w:r>
          </w:p>
        </w:tc>
        <w:tc>
          <w:tcPr>
            <w:tcW w:w="3676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2368E4" w:rsidRPr="009C4E5E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</w:pPr>
            <w:r w:rsidRPr="009C4E5E">
              <w:rPr>
                <w:rFonts w:ascii="Arial Narrow" w:hAnsi="Arial Narrow" w:cs="Arial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3D7BF3" w:rsidTr="00704D12">
        <w:trPr>
          <w:trHeight w:val="561"/>
        </w:trPr>
        <w:tc>
          <w:tcPr>
            <w:tcW w:w="1285" w:type="dxa"/>
            <w:vMerge w:val="restart"/>
            <w:textDirection w:val="btLr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4D5ED4">
              <w:rPr>
                <w:rFonts w:ascii="Arial Narrow" w:hAnsi="Arial Narrow"/>
                <w:b/>
                <w:bCs/>
                <w:sz w:val="18"/>
                <w:szCs w:val="18"/>
              </w:rPr>
              <w:t>5.1. Успостављени су добри међуљудски односи.</w:t>
            </w: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5.1.1. У школи постоји доследно поштовање норми којима је регулисано понашање и одговорност свих.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У школи постоји правилник који регулише ова   питања</w:t>
            </w:r>
          </w:p>
        </w:tc>
      </w:tr>
      <w:tr w:rsidR="003D7BF3" w:rsidTr="00704D12">
        <w:trPr>
          <w:trHeight w:val="572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5.1.2. За дискриминаторско понашање у школи доследно се примењују мере и санкције.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У школи постоји Правилник који регулише ова питања</w:t>
            </w:r>
          </w:p>
        </w:tc>
      </w:tr>
      <w:tr w:rsidR="003D7BF3" w:rsidTr="00704D12">
        <w:trPr>
          <w:trHeight w:val="847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5.1.3. За новопридошле ученике и запослене у школи примењују се разрађени поступци прилагођавања на нову школску средину.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CS"/>
              </w:rPr>
              <w:t>1.</w:t>
            </w: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У школи је дефинисан протокол  пријема новозапослених</w:t>
            </w:r>
          </w:p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2. 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Ове године, због епдиемиолошке ситуације, школа није организовала колективни родитељски састанак за</w:t>
            </w:r>
            <w:r w:rsidR="00555F80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све родитеље ученика првог разреда. Организовани су индивидуални састанци са разредним старешинама на којима су  родитељи упознати са специфичностима наставе у музичкој школи, са  правима, обавезама и одговорностима ученика и родитеља као и наставника, са правилником о оцењивању, са правилима понашања родитеља  и ученика условљеним епидемиолошким мерама.</w:t>
            </w:r>
          </w:p>
        </w:tc>
      </w:tr>
      <w:tr w:rsidR="003D7BF3" w:rsidTr="00704D12">
        <w:trPr>
          <w:trHeight w:val="572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5.1.4. У школи се користе различите технике за превенцију и конструктивно решавање конфликата.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3D7BF3" w:rsidRDefault="003D7BF3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Организоване су следеће активности:</w:t>
            </w:r>
          </w:p>
          <w:p w:rsidR="003D7BF3" w:rsidRDefault="003D7BF3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3D7BF3" w:rsidRDefault="003D7BF3" w:rsidP="003D7BF3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Рад педагога школе,</w:t>
            </w:r>
          </w:p>
          <w:p w:rsidR="002368E4" w:rsidRPr="003D7BF3" w:rsidRDefault="003D7BF3" w:rsidP="003D7BF3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Термини за комуникацију са наставницима, директором и педагогом </w:t>
            </w:r>
            <w:r w:rsidR="002368E4" w:rsidRP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школ</w:t>
            </w: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е, часови одељенске заједнице, С</w:t>
            </w:r>
            <w:r w:rsidR="002368E4" w:rsidRP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астанци ученичког парламента са педагогом и директором школе </w:t>
            </w: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Радионице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педагога школе</w:t>
            </w:r>
          </w:p>
          <w:p w:rsidR="002368E4" w:rsidRPr="003D7BF3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</w:tc>
      </w:tr>
      <w:tr w:rsidR="003D7BF3" w:rsidRPr="004D5ED4" w:rsidTr="00704D12">
        <w:trPr>
          <w:cantSplit/>
          <w:trHeight w:val="335"/>
        </w:trPr>
        <w:tc>
          <w:tcPr>
            <w:tcW w:w="1285" w:type="dxa"/>
            <w:shd w:val="clear" w:color="auto" w:fill="D9D9D9" w:themeFill="background1" w:themeFillShade="D9"/>
            <w:textDirection w:val="btLr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</w:tr>
      <w:tr w:rsidR="003D7BF3" w:rsidTr="00704D12">
        <w:trPr>
          <w:trHeight w:val="550"/>
        </w:trPr>
        <w:tc>
          <w:tcPr>
            <w:tcW w:w="1285" w:type="dxa"/>
            <w:vMerge w:val="restart"/>
            <w:textDirection w:val="btLr"/>
            <w:vAlign w:val="center"/>
          </w:tcPr>
          <w:p w:rsidR="002368E4" w:rsidRPr="004D5ED4" w:rsidRDefault="002368E4" w:rsidP="00076A03">
            <w:pPr>
              <w:pStyle w:val="1tekst"/>
              <w:ind w:left="113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D5ED4">
              <w:rPr>
                <w:rFonts w:ascii="Arial Narrow" w:hAnsi="Arial Narrow"/>
                <w:b/>
                <w:bCs/>
                <w:sz w:val="18"/>
                <w:szCs w:val="18"/>
              </w:rPr>
              <w:t>5.2. Резултати ученика и наставника се подржавају и промовишу.</w:t>
            </w: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5.2.1. Успех сваког појединца, групе или одељења прихвата се и промовише као лични успех и успех школе.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У школи 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су сва постигнућа ученика и наставника остварена на такмичењима као и све акт</w:t>
            </w:r>
            <w:r w:rsidR="00555F80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ивности које доприносе позитивно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м </w:t>
            </w:r>
            <w:r w:rsidR="003D7BF3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lastRenderedPageBreak/>
              <w:t>имиџу школе, редовно промовисана на фб страници школе, Сајту школе, Инстаграм страници школе и локалним медијима.</w:t>
            </w:r>
          </w:p>
        </w:tc>
      </w:tr>
      <w:tr w:rsidR="003D7BF3" w:rsidTr="00704D12">
        <w:trPr>
          <w:trHeight w:val="561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5.2.2. У школи се примењује интерни систем награђивања ученика и запослених за постигнуте резултате.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326E20" w:rsidRDefault="00326E20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Школа је финансирала похађање masterclass радионице проф. Матеја Зупана ( Академија за гласбо – Љубљана)</w:t>
            </w:r>
            <w: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 xml:space="preserve"> трима ученицама средње школе као награду за остварене резултате у току школске 2019/2020. године – новембар 2020.</w:t>
            </w:r>
          </w:p>
        </w:tc>
      </w:tr>
      <w:tr w:rsidR="003D7BF3" w:rsidTr="00704D12">
        <w:trPr>
          <w:trHeight w:val="836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Pr="004D5ED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D5ED4">
              <w:rPr>
                <w:rFonts w:ascii="Arial Narrow" w:hAnsi="Arial Narrow"/>
                <w:sz w:val="22"/>
                <w:szCs w:val="22"/>
              </w:rPr>
              <w:t>5.2.3. У школи се организују различите активности за ученике у којима свако има прилику да постигне резултат/успех.</w:t>
            </w: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 w:rsidRPr="002368E4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Школа мотивише различите активности ученика </w:t>
            </w: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368E4" w:rsidRPr="00326E20" w:rsidRDefault="00326E20" w:rsidP="00326E20">
            <w:pPr>
              <w:pStyle w:val="ListParagraph"/>
              <w:numPr>
                <w:ilvl w:val="0"/>
                <w:numId w:val="18"/>
              </w:num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 w:rsidRPr="00326E20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Формирање секције „Школски радио“ ради покретања интернет радиа школе. 12 средњошколаца је уз менторство проф. Божане Дивац и проф. Дражена Кујунџића креирало промотивни програм радија емитован на радију „ВАлтернатива“.</w:t>
            </w:r>
          </w:p>
          <w:p w:rsidR="00326E20" w:rsidRPr="00326E20" w:rsidRDefault="00326E20" w:rsidP="00326E20">
            <w:pPr>
              <w:pStyle w:val="ListParagraph"/>
              <w:tabs>
                <w:tab w:val="left" w:pos="4320"/>
              </w:tabs>
              <w:ind w:left="1170"/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E43DA" w:rsidRPr="002E43DA" w:rsidRDefault="00326E20" w:rsidP="002E43DA">
            <w:pPr>
              <w:pStyle w:val="ListParagraph"/>
              <w:numPr>
                <w:ilvl w:val="0"/>
                <w:numId w:val="18"/>
              </w:num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Школа је у сарадњи</w:t>
            </w:r>
            <w:r w:rsid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  <w:r w:rsidR="002E43DA"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са</w:t>
            </w:r>
            <w:r w:rsid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 </w:t>
            </w:r>
          </w:p>
          <w:p w:rsidR="002368E4" w:rsidRDefault="002E43DA" w:rsidP="002E43DA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Телевизијом </w:t>
            </w:r>
            <w:r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Марш реализовала концертни пројекат „Удахни музику“. У  циклусу од 4 концерта емитовано је 53 тачке солиста, камерних</w:t>
            </w:r>
            <w:r w:rsidR="00555F80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  <w:r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  <w:r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lastRenderedPageBreak/>
              <w:t xml:space="preserve">ансамбала и оркестара школе. Овај програм забележио је преко 700 прегледа на You Tube </w:t>
            </w:r>
            <w:r w:rsidRPr="002E43DA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 xml:space="preserve">каналу Телевизије Марш. </w:t>
            </w:r>
          </w:p>
          <w:p w:rsidR="00555F80" w:rsidRPr="00555F80" w:rsidRDefault="00555F80" w:rsidP="002E43DA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/>
              </w:rPr>
            </w:pPr>
          </w:p>
          <w:p w:rsidR="002E43DA" w:rsidRDefault="002E43DA" w:rsidP="002E43DA">
            <w:pPr>
              <w:pStyle w:val="ListParagraph"/>
              <w:rPr>
                <w:rFonts w:ascii="Arial Narrow" w:hAnsi="Arial Narrow" w:cs="Arial"/>
                <w:color w:val="1F497D" w:themeColor="text2"/>
                <w:sz w:val="24"/>
                <w:szCs w:val="24"/>
                <w:lang/>
              </w:rPr>
            </w:pPr>
          </w:p>
          <w:p w:rsidR="00555F80" w:rsidRPr="00555F80" w:rsidRDefault="00555F80" w:rsidP="002E43DA">
            <w:pPr>
              <w:pStyle w:val="ListParagraph"/>
              <w:rPr>
                <w:rFonts w:ascii="Arial Narrow" w:hAnsi="Arial Narrow" w:cs="Arial"/>
                <w:color w:val="1F497D" w:themeColor="text2"/>
                <w:sz w:val="24"/>
                <w:szCs w:val="24"/>
                <w:lang/>
              </w:rPr>
            </w:pPr>
          </w:p>
          <w:p w:rsidR="002E43DA" w:rsidRPr="002E43DA" w:rsidRDefault="002E43DA" w:rsidP="002E43DA">
            <w:pPr>
              <w:pStyle w:val="ListParagraph"/>
              <w:tabs>
                <w:tab w:val="left" w:pos="4320"/>
              </w:tabs>
              <w:ind w:left="1170"/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</w:p>
          <w:p w:rsidR="002368E4" w:rsidRPr="002E43DA" w:rsidRDefault="002E43DA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3. Поводом Дана Просветних радника, чланови секције „Школски радио“ емитовали су play листу на интернет радију ВАлтернатива посвећену својим професорима.</w:t>
            </w: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368E4" w:rsidRPr="002368E4" w:rsidRDefault="002E43DA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 xml:space="preserve"> </w:t>
            </w: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368E4" w:rsidRPr="002368E4" w:rsidRDefault="002E43DA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  <w:t>4. И овогодишњи Светосавски концерт, тематски конципиран, садржао је композиције руских и српских композитора, али и одговарајући текст у оквиру којег су чланови драмске секције презентовали присутним наставницима и ученицима своје рецитаторске и глумачке способности.</w:t>
            </w:r>
          </w:p>
          <w:p w:rsidR="002368E4" w:rsidRPr="002368E4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  <w:p w:rsidR="002368E4" w:rsidRPr="002E43DA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1F497D" w:themeColor="text2"/>
                <w:sz w:val="24"/>
                <w:szCs w:val="24"/>
                <w:lang w:val="sr-Cyrl-CS"/>
              </w:rPr>
            </w:pPr>
          </w:p>
        </w:tc>
      </w:tr>
      <w:tr w:rsidR="003D7BF3" w:rsidTr="00704D12">
        <w:trPr>
          <w:trHeight w:val="572"/>
        </w:trPr>
        <w:tc>
          <w:tcPr>
            <w:tcW w:w="1285" w:type="dxa"/>
            <w:vMerge/>
            <w:textDirection w:val="btL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both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2368E4" w:rsidRDefault="002368E4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  <w:lang/>
              </w:rPr>
            </w:pPr>
          </w:p>
          <w:p w:rsidR="00555F80" w:rsidRPr="00555F80" w:rsidRDefault="00555F80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  <w:lang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58" w:type="dxa"/>
          </w:tcPr>
          <w:p w:rsidR="002368E4" w:rsidRPr="009C4E5E" w:rsidRDefault="002368E4" w:rsidP="00076A03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</w:tcPr>
          <w:p w:rsidR="002368E4" w:rsidRDefault="002368E4" w:rsidP="00E324BB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FF0000"/>
                <w:sz w:val="24"/>
                <w:szCs w:val="24"/>
                <w:lang w:val="sr-Cyrl-CS"/>
              </w:rPr>
            </w:pPr>
          </w:p>
          <w:p w:rsidR="00555F80" w:rsidRPr="005D647F" w:rsidRDefault="00555F80" w:rsidP="00E324BB">
            <w:pPr>
              <w:tabs>
                <w:tab w:val="left" w:pos="4320"/>
              </w:tabs>
              <w:jc w:val="both"/>
              <w:rPr>
                <w:rFonts w:ascii="Arial Narrow" w:hAnsi="Arial Narrow" w:cs="Arial"/>
                <w:color w:val="FF0000"/>
                <w:sz w:val="24"/>
                <w:szCs w:val="24"/>
                <w:lang w:val="sr-Cyrl-CS"/>
              </w:rPr>
            </w:pPr>
          </w:p>
        </w:tc>
      </w:tr>
      <w:tr w:rsidR="003D7BF3" w:rsidTr="00704D12">
        <w:trPr>
          <w:cantSplit/>
          <w:trHeight w:val="391"/>
        </w:trPr>
        <w:tc>
          <w:tcPr>
            <w:tcW w:w="1285" w:type="dxa"/>
            <w:shd w:val="clear" w:color="auto" w:fill="D9D9D9" w:themeFill="background1" w:themeFillShade="D9"/>
            <w:textDirection w:val="btLr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ind w:left="113" w:right="113"/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center"/>
          </w:tcPr>
          <w:p w:rsidR="002368E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  <w:p w:rsidR="00555F80" w:rsidRPr="004D5ED4" w:rsidRDefault="00555F80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:rsidR="002368E4" w:rsidRPr="004D5ED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2368E4" w:rsidRPr="002368E4" w:rsidRDefault="002368E4" w:rsidP="00076A03">
            <w:pPr>
              <w:tabs>
                <w:tab w:val="left" w:pos="4320"/>
              </w:tabs>
              <w:jc w:val="center"/>
              <w:rPr>
                <w:rFonts w:ascii="Arial Narrow" w:hAnsi="Arial Narrow" w:cs="Arial"/>
                <w:b/>
                <w:color w:val="1F497D" w:themeColor="text2"/>
                <w:sz w:val="8"/>
                <w:szCs w:val="8"/>
                <w:lang w:val="sr-Cyrl-CS"/>
              </w:rPr>
            </w:pPr>
          </w:p>
        </w:tc>
      </w:tr>
    </w:tbl>
    <w:p w:rsidR="002368E4" w:rsidRPr="00555F80" w:rsidRDefault="002368E4" w:rsidP="00F14BA2">
      <w:pPr>
        <w:rPr>
          <w:sz w:val="24"/>
          <w:szCs w:val="24"/>
          <w:lang/>
        </w:rPr>
      </w:pPr>
    </w:p>
    <w:p w:rsidR="00F14BA2" w:rsidRDefault="00F14BA2" w:rsidP="00F14BA2">
      <w:pPr>
        <w:rPr>
          <w:sz w:val="24"/>
          <w:szCs w:val="24"/>
        </w:rPr>
      </w:pPr>
    </w:p>
    <w:p w:rsidR="000D5E90" w:rsidRDefault="000D5E90" w:rsidP="009F0D7F">
      <w:pPr>
        <w:rPr>
          <w:b/>
          <w:sz w:val="24"/>
          <w:szCs w:val="24"/>
        </w:rPr>
      </w:pPr>
      <w:r w:rsidRPr="000D5E90">
        <w:rPr>
          <w:b/>
          <w:sz w:val="24"/>
          <w:szCs w:val="24"/>
        </w:rPr>
        <w:t>ОБЛАСТ КВАЛИТЕТА 6</w:t>
      </w:r>
      <w:r w:rsidR="00C66E4F">
        <w:rPr>
          <w:b/>
          <w:sz w:val="24"/>
          <w:szCs w:val="24"/>
        </w:rPr>
        <w:t xml:space="preserve"> – Организација рада школе, управљање људским и материјалним ресусрсима</w:t>
      </w:r>
    </w:p>
    <w:p w:rsidR="00490018" w:rsidRDefault="00490018" w:rsidP="005E2A1E">
      <w:pPr>
        <w:rPr>
          <w:sz w:val="24"/>
          <w:szCs w:val="24"/>
        </w:rPr>
      </w:pPr>
      <w:r>
        <w:rPr>
          <w:sz w:val="24"/>
          <w:szCs w:val="24"/>
        </w:rPr>
        <w:t>У току извештајног периода у школи је реализовано и самовредновање из ове области и добијени су следећи показатељи:</w:t>
      </w:r>
    </w:p>
    <w:p w:rsidR="00490018" w:rsidRPr="005E2A1E" w:rsidRDefault="00490018" w:rsidP="005E2A1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3055"/>
        <w:gridCol w:w="2391"/>
      </w:tblGrid>
      <w:tr w:rsidR="00704D12" w:rsidRPr="0008265A" w:rsidTr="00796A01">
        <w:trPr>
          <w:trHeight w:val="460"/>
        </w:trPr>
        <w:tc>
          <w:tcPr>
            <w:tcW w:w="1967" w:type="dxa"/>
            <w:shd w:val="clear" w:color="auto" w:fill="D9D9D9"/>
            <w:vAlign w:val="center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  <w:r w:rsidRPr="0008265A"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  <w:lastRenderedPageBreak/>
              <w:t>Стандарди</w:t>
            </w:r>
          </w:p>
        </w:tc>
        <w:tc>
          <w:tcPr>
            <w:tcW w:w="3055" w:type="dxa"/>
            <w:shd w:val="clear" w:color="auto" w:fill="D9D9D9"/>
            <w:vAlign w:val="center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  <w:r w:rsidRPr="0008265A"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391" w:type="dxa"/>
            <w:shd w:val="clear" w:color="auto" w:fill="D9D9D9"/>
            <w:vAlign w:val="center"/>
          </w:tcPr>
          <w:p w:rsidR="00704D12" w:rsidRPr="000A343C" w:rsidRDefault="00704D12" w:rsidP="00076A03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  <w:t>Коментари</w:t>
            </w:r>
          </w:p>
        </w:tc>
      </w:tr>
      <w:tr w:rsidR="00704D12" w:rsidRPr="0008265A" w:rsidTr="00796A01">
        <w:trPr>
          <w:trHeight w:val="496"/>
        </w:trPr>
        <w:tc>
          <w:tcPr>
            <w:tcW w:w="1967" w:type="dxa"/>
            <w:vMerge w:val="restart"/>
            <w:vAlign w:val="center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  <w:r w:rsidRPr="0008265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6.1. Руковођење директора је у функцији унапређивање рада школе.</w:t>
            </w: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6.1.1. Постоји јасна организациона структура са дефинисаним процедурама и носиоцима одговорности.</w:t>
            </w:r>
          </w:p>
        </w:tc>
        <w:tc>
          <w:tcPr>
            <w:tcW w:w="2391" w:type="dxa"/>
          </w:tcPr>
          <w:p w:rsidR="00704D12" w:rsidRPr="00704D12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  <w:t>У првој недељи септембра дефинисани су састави тимова у школи, именовани шефови одсека, делегирана задужења за све запослене.</w:t>
            </w:r>
          </w:p>
        </w:tc>
      </w:tr>
      <w:tr w:rsidR="00704D12" w:rsidRPr="0008265A" w:rsidTr="00796A01">
        <w:trPr>
          <w:trHeight w:val="504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6.1.2. Формирана су стручна тела и тимови у складу са потребама школа и компетенцијама запослених.</w:t>
            </w:r>
          </w:p>
        </w:tc>
        <w:tc>
          <w:tcPr>
            <w:tcW w:w="2391" w:type="dxa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Сви тимови су дефинисали годишње планове рада и почели са реализацијом</w:t>
            </w:r>
            <w:r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  <w:t xml:space="preserve"> </w:t>
            </w: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активности предвиђеним Планом.</w:t>
            </w:r>
          </w:p>
        </w:tc>
      </w:tr>
      <w:tr w:rsidR="00704D12" w:rsidRPr="0008265A" w:rsidTr="00796A01">
        <w:trPr>
          <w:trHeight w:val="486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 xml:space="preserve">6.1.3. </w:t>
            </w:r>
            <w:r w:rsidRPr="0002029F">
              <w:rPr>
                <w:rFonts w:ascii="Arial Narrow" w:hAnsi="Arial Narrow"/>
                <w:sz w:val="22"/>
                <w:szCs w:val="22"/>
              </w:rPr>
              <w:t>Директор прати делотворност рада стручних тимова и доприноси квалитету њиховог рада.</w:t>
            </w:r>
          </w:p>
        </w:tc>
        <w:tc>
          <w:tcPr>
            <w:tcW w:w="2391" w:type="dxa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Евалуација рада Тимова реализује се кроз састанке, а у току реализације наставе на даљину  комуникација је реализована преко Вибер група. Мора се истаћи да је прелазак наставе на даљину стопирао многе активности Тимова предвиђене Планом у првом полугодишту али искрено верујемо да ћемо успети да их реализујемо у другом полугодишту</w:t>
            </w:r>
            <w:r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  <w:t>.</w:t>
            </w:r>
          </w:p>
        </w:tc>
      </w:tr>
      <w:tr w:rsidR="00704D12" w:rsidRPr="00704D12" w:rsidTr="00796A01">
        <w:trPr>
          <w:trHeight w:val="504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6.1.4. Директор обезбеђује услове да запослени, ученички парламент и савет родитеља активно учествују у доношењу одлука у циљу унапређења рада школе.</w:t>
            </w:r>
          </w:p>
        </w:tc>
        <w:tc>
          <w:tcPr>
            <w:tcW w:w="2391" w:type="dxa"/>
          </w:tcPr>
          <w:p w:rsidR="00704D12" w:rsidRPr="00704D12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Директорка школе је у извештајном периоду реализовала један састанак ученичког парламента и услед новонасталих околности формирала вибер групу Парламента. Такође у сарадњи са педагогом школе, креирана је мејлинг листа преко које се ученици редовно информишу о свим активностима и информацијама </w:t>
            </w: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lastRenderedPageBreak/>
              <w:t>везаним за њихове наставне и ваннаставне активности.</w:t>
            </w:r>
          </w:p>
        </w:tc>
      </w:tr>
      <w:tr w:rsidR="00704D12" w:rsidRPr="0008265A" w:rsidTr="00796A01">
        <w:trPr>
          <w:cantSplit/>
          <w:trHeight w:val="453"/>
        </w:trPr>
        <w:tc>
          <w:tcPr>
            <w:tcW w:w="1967" w:type="dxa"/>
            <w:vMerge/>
            <w:shd w:val="clear" w:color="auto" w:fill="D9D9D9"/>
            <w:vAlign w:val="center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055" w:type="dxa"/>
            <w:shd w:val="clear" w:color="auto" w:fill="D9D9D9"/>
            <w:vAlign w:val="center"/>
          </w:tcPr>
          <w:p w:rsidR="00704D12" w:rsidRPr="006C7898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91" w:type="dxa"/>
            <w:shd w:val="clear" w:color="auto" w:fill="D9D9D9"/>
            <w:vAlign w:val="center"/>
          </w:tcPr>
          <w:p w:rsidR="00704D12" w:rsidRPr="006C7898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</w:p>
        </w:tc>
      </w:tr>
      <w:tr w:rsidR="00704D12" w:rsidRPr="0008265A" w:rsidTr="00796A01">
        <w:trPr>
          <w:trHeight w:val="486"/>
        </w:trPr>
        <w:tc>
          <w:tcPr>
            <w:tcW w:w="1967" w:type="dxa"/>
            <w:vMerge w:val="restart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8265A">
              <w:rPr>
                <w:rFonts w:ascii="Arial Narrow" w:hAnsi="Arial Narrow"/>
                <w:b/>
                <w:bCs/>
                <w:sz w:val="24"/>
                <w:szCs w:val="24"/>
              </w:rPr>
              <w:t>6.2. У школи функционише систем за праћење и вредновање квалитета рада.</w:t>
            </w:r>
          </w:p>
          <w:p w:rsidR="00704D12" w:rsidRPr="0008265A" w:rsidRDefault="00704D12" w:rsidP="00076A03">
            <w:pPr>
              <w:pStyle w:val="1tekst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6.2.1. Директор редовно остварује инструктивни увид и надзор у образовно-васпитни рад.</w:t>
            </w:r>
          </w:p>
        </w:tc>
        <w:tc>
          <w:tcPr>
            <w:tcW w:w="2391" w:type="dxa"/>
          </w:tcPr>
          <w:p w:rsidR="00704D12" w:rsidRPr="00704D12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04D12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Директорка је са педагогом школе у току извештајног периода посетила укупно 18 часова.</w:t>
            </w:r>
          </w:p>
        </w:tc>
      </w:tr>
      <w:tr w:rsidR="00704D12" w:rsidRPr="0008265A" w:rsidTr="00796A01">
        <w:trPr>
          <w:trHeight w:val="496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6.2.2. Стручни сарадници и наставници у звању прате и вреднују образовно-васпитни рад и предлажу мере за побољшање квалитета рада.</w:t>
            </w:r>
          </w:p>
        </w:tc>
        <w:tc>
          <w:tcPr>
            <w:tcW w:w="2391" w:type="dxa"/>
          </w:tcPr>
          <w:p w:rsidR="00704D12" w:rsidRDefault="0002029F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  <w:t xml:space="preserve">- </w:t>
            </w:r>
            <w:r w:rsidR="00704D12" w:rsidRPr="0002029F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Педагог школе је </w:t>
            </w:r>
            <w:r w:rsidRPr="0002029F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у децембру 2020. </w:t>
            </w:r>
            <w:r w:rsidR="00704D12" w:rsidRPr="0002029F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 реализовала </w:t>
            </w:r>
            <w:r w:rsidRPr="0002029F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Истраживање на тему реализације наставе на даљину у МШ „Живорад Грбић“</w:t>
            </w:r>
          </w:p>
          <w:p w:rsidR="0002029F" w:rsidRDefault="0002029F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. Педагог школе је у новембру у оквиру стручног усавршавања у установи реализовала online презентацију </w:t>
            </w: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  <w:t>„Јачање компетенција наставника за комуникацију и сарадњу“</w:t>
            </w:r>
          </w:p>
          <w:p w:rsidR="0002029F" w:rsidRPr="0002029F" w:rsidRDefault="0002029F" w:rsidP="0002029F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</w:pPr>
            <w:r w:rsidRPr="0002029F">
              <w:rPr>
                <w:rFonts w:ascii="Arial Narrow" w:eastAsia="Calibri" w:hAnsi="Arial Narrow" w:cs="Arial"/>
                <w:color w:val="0070C0"/>
                <w:sz w:val="24"/>
                <w:szCs w:val="24"/>
                <w:lang/>
              </w:rPr>
              <w:t>Наставнице Даница Крунић и Николина Нинић су у оквиру Стручног усавршавања у установи креирале видео презентације на тему „Ученички портфолио“</w:t>
            </w:r>
          </w:p>
        </w:tc>
      </w:tr>
      <w:tr w:rsidR="00704D12" w:rsidRPr="0008265A" w:rsidTr="00796A01">
        <w:trPr>
          <w:trHeight w:val="496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6.2.3. Тим за самовредновање остварује самовредновање рада школе у функцији унапређивања квалитета.</w:t>
            </w:r>
          </w:p>
        </w:tc>
        <w:tc>
          <w:tcPr>
            <w:tcW w:w="2391" w:type="dxa"/>
          </w:tcPr>
          <w:p w:rsidR="00704D12" w:rsidRPr="00C12E9A" w:rsidRDefault="0002029F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Тим за самовредновање је у школској 2020/2021 дефинисао две области за самовредновање у функцији унапређивања </w:t>
            </w: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lastRenderedPageBreak/>
              <w:t>квалитета:</w:t>
            </w:r>
          </w:p>
          <w:p w:rsidR="00D83CFE" w:rsidRPr="00C12E9A" w:rsidRDefault="00D83CFE" w:rsidP="00D83CF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Област 1 : Планирање, програмирање и извештавање</w:t>
            </w:r>
          </w:p>
          <w:p w:rsidR="00D83CFE" w:rsidRPr="00C12E9A" w:rsidRDefault="00D83CFE" w:rsidP="00D83CF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Област 2: Настава и учење</w:t>
            </w:r>
          </w:p>
          <w:p w:rsidR="00D83CFE" w:rsidRPr="00C12E9A" w:rsidRDefault="00D83CFE" w:rsidP="00D83CF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Процес самовредновања </w:t>
            </w:r>
            <w:r w:rsidR="00C12E9A"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биће реализован у току 3. и 4. тромесечја</w:t>
            </w:r>
          </w:p>
          <w:p w:rsidR="0002029F" w:rsidRPr="0008265A" w:rsidRDefault="0002029F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</w:tr>
      <w:tr w:rsidR="00704D12" w:rsidRPr="0008265A" w:rsidTr="00796A01">
        <w:trPr>
          <w:trHeight w:val="496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6.2.4. У школи се користе подаци из јединственог информационог система просвете за вредновање и унапређивање рада школе.</w:t>
            </w:r>
          </w:p>
        </w:tc>
        <w:tc>
          <w:tcPr>
            <w:tcW w:w="2391" w:type="dxa"/>
          </w:tcPr>
          <w:p w:rsidR="00704D12" w:rsidRP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96A01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На недељном нивоу систем Доситеј је ажуриран и коришћен за унапређивање рада школе у периоду наставе на даљину и периоду рада од 1. септембра до 30. новембра</w:t>
            </w:r>
          </w:p>
        </w:tc>
      </w:tr>
      <w:tr w:rsidR="00704D12" w:rsidRPr="0008265A" w:rsidTr="00796A01">
        <w:trPr>
          <w:trHeight w:val="486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6.2.5. Директор ствара услове за континуирано праћење и вредновање дигиталне зрелости школе.</w:t>
            </w:r>
          </w:p>
        </w:tc>
        <w:tc>
          <w:tcPr>
            <w:tcW w:w="2391" w:type="dxa"/>
          </w:tcPr>
          <w:p w:rsidR="00704D12" w:rsidRP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96A01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Директорка школе се у току припрема Испита за лиценцу упознала са „селфи“ платформом. У наредном периоду, самовредновање на пољу дигиталне зрелости школе, дефинисано на овој платформи биће  спроведено и у школи</w:t>
            </w:r>
          </w:p>
          <w:p w:rsidR="00796A01" w:rsidRP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96A01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У школи је  у току новембра месеца појачан интернет и одрађен генералан ремонт свих интернет инсталација</w:t>
            </w:r>
          </w:p>
        </w:tc>
      </w:tr>
      <w:tr w:rsidR="00704D12" w:rsidRPr="0008265A" w:rsidTr="00796A01">
        <w:trPr>
          <w:trHeight w:val="504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8265A">
              <w:rPr>
                <w:rFonts w:ascii="Arial Narrow" w:hAnsi="Arial Narrow"/>
                <w:sz w:val="22"/>
                <w:szCs w:val="22"/>
              </w:rPr>
              <w:t>6.2.6. Директор предузима мере за унапређење образовно-васпитног рада на основу резултата праћења и вредновања.</w:t>
            </w:r>
          </w:p>
        </w:tc>
        <w:tc>
          <w:tcPr>
            <w:tcW w:w="2391" w:type="dxa"/>
          </w:tcPr>
          <w:p w:rsidR="00704D12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796A01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На основу педагошко инструктивног рада, комуникације са Ученичким парламентом и Саветом родитеља у школи се константно анализира квалитет рада и доносе мере за унапређење истог</w:t>
            </w:r>
          </w:p>
          <w:p w:rsidR="00555F80" w:rsidRDefault="00555F80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</w:p>
          <w:p w:rsidR="00555F80" w:rsidRPr="00796A01" w:rsidRDefault="00555F80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</w:p>
        </w:tc>
      </w:tr>
      <w:tr w:rsidR="00704D12" w:rsidRPr="0008265A" w:rsidTr="00796A01">
        <w:trPr>
          <w:cantSplit/>
          <w:trHeight w:val="446"/>
        </w:trPr>
        <w:tc>
          <w:tcPr>
            <w:tcW w:w="1967" w:type="dxa"/>
            <w:vMerge/>
            <w:shd w:val="clear" w:color="auto" w:fill="D9D9D9"/>
            <w:vAlign w:val="center"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8"/>
                <w:szCs w:val="8"/>
                <w:lang w:val="sr-Cyrl-CS"/>
              </w:rPr>
            </w:pPr>
          </w:p>
        </w:tc>
        <w:tc>
          <w:tcPr>
            <w:tcW w:w="3055" w:type="dxa"/>
            <w:shd w:val="clear" w:color="auto" w:fill="D9D9D9"/>
            <w:vAlign w:val="center"/>
          </w:tcPr>
          <w:p w:rsidR="00704D12" w:rsidRPr="006C7898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91" w:type="dxa"/>
            <w:shd w:val="clear" w:color="auto" w:fill="D9D9D9"/>
            <w:vAlign w:val="center"/>
          </w:tcPr>
          <w:p w:rsidR="00704D12" w:rsidRPr="006C7898" w:rsidRDefault="00704D12" w:rsidP="00076A0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Cyrl-CS"/>
              </w:rPr>
            </w:pPr>
          </w:p>
        </w:tc>
      </w:tr>
      <w:tr w:rsidR="00704D12" w:rsidRPr="0008265A" w:rsidTr="00796A01">
        <w:trPr>
          <w:trHeight w:val="438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</w:rPr>
            </w:pPr>
            <w:r w:rsidRPr="0008265A">
              <w:rPr>
                <w:rFonts w:ascii="Arial Narrow" w:hAnsi="Arial Narrow"/>
              </w:rPr>
              <w:t>6.3.2. Директор показује отвореност за промене и подстиче иновације.</w:t>
            </w:r>
          </w:p>
        </w:tc>
        <w:tc>
          <w:tcPr>
            <w:tcW w:w="2391" w:type="dxa"/>
          </w:tcPr>
          <w:p w:rsidR="00704D12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</w:t>
            </w:r>
            <w:r w:rsidR="00C12E9A"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Договорена је реализација акредитованог семинара „ Основе Александер технике“ – врло корисне савремене наставне методе у музичким школама – новембар месец. Реализација је због епидемиолошких услова морала да се помери за друго полугодиште.</w:t>
            </w:r>
          </w:p>
          <w:p w:rsid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директорка подстакла иницијативу креирања Школског радија</w:t>
            </w:r>
          </w:p>
          <w:p w:rsid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директорка је иницирала  циклус телевизијских концерата „Удахни музику“ емитованих у децембру и јануару месецу</w:t>
            </w:r>
          </w:p>
          <w:p w:rsidR="00796A01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Кроз ангажовање директорке школе и Тима за предузетништво у току извештајног периода</w:t>
            </w:r>
            <w:r w:rsidR="00555F80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,</w:t>
            </w: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 xml:space="preserve"> реализован је значајан број активности дефинисања и покретања рада школске бибиотеке</w:t>
            </w:r>
          </w:p>
          <w:p w:rsidR="00796A01" w:rsidRPr="00C12E9A" w:rsidRDefault="00796A01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- Реализоване су четири видео презентације које унапређују дигиталне компетенције ученика и запослених</w:t>
            </w:r>
          </w:p>
        </w:tc>
      </w:tr>
      <w:tr w:rsidR="00704D12" w:rsidRPr="0008265A" w:rsidTr="00796A01">
        <w:trPr>
          <w:trHeight w:val="459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</w:rPr>
            </w:pPr>
            <w:r w:rsidRPr="0008265A">
              <w:rPr>
                <w:rFonts w:ascii="Arial Narrow" w:hAnsi="Arial Narrow"/>
              </w:rPr>
              <w:t>6.3.3. Директор промовише вредности учења и развија школу као заједницу целоживотног учења.</w:t>
            </w:r>
          </w:p>
        </w:tc>
        <w:tc>
          <w:tcPr>
            <w:tcW w:w="2391" w:type="dxa"/>
          </w:tcPr>
          <w:p w:rsidR="00704D12" w:rsidRPr="00C12E9A" w:rsidRDefault="00C12E9A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t>У току извештајног периода директорка је водила промотивну делатност школе. Реализовано је 23 тв прилога, 14 новинских и интернет текстова.</w:t>
            </w:r>
          </w:p>
        </w:tc>
      </w:tr>
      <w:tr w:rsidR="00704D12" w:rsidRPr="0008265A" w:rsidTr="00796A01">
        <w:trPr>
          <w:trHeight w:val="512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3055" w:type="dxa"/>
            <w:vAlign w:val="center"/>
          </w:tcPr>
          <w:p w:rsidR="00704D12" w:rsidRPr="0008265A" w:rsidRDefault="00704D12" w:rsidP="00076A03">
            <w:pPr>
              <w:pStyle w:val="1tekst"/>
              <w:ind w:left="0" w:firstLine="0"/>
              <w:rPr>
                <w:rFonts w:ascii="Arial Narrow" w:hAnsi="Arial Narrow"/>
              </w:rPr>
            </w:pPr>
            <w:r w:rsidRPr="0008265A">
              <w:rPr>
                <w:rFonts w:ascii="Arial Narrow" w:hAnsi="Arial Narrow"/>
              </w:rPr>
              <w:t xml:space="preserve">6.3.4. Директор планира лични професионални развој на </w:t>
            </w:r>
            <w:r w:rsidRPr="0008265A">
              <w:rPr>
                <w:rFonts w:ascii="Arial Narrow" w:hAnsi="Arial Narrow"/>
              </w:rPr>
              <w:lastRenderedPageBreak/>
              <w:t>основу резултата спољашњег вредновања и самовредновања свог рада.</w:t>
            </w:r>
          </w:p>
        </w:tc>
        <w:tc>
          <w:tcPr>
            <w:tcW w:w="2391" w:type="dxa"/>
          </w:tcPr>
          <w:p w:rsidR="00704D12" w:rsidRPr="00C12E9A" w:rsidRDefault="00C12E9A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</w:pP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lastRenderedPageBreak/>
              <w:t xml:space="preserve">У току извештајног </w:t>
            </w:r>
            <w:r w:rsidRPr="00C12E9A">
              <w:rPr>
                <w:rFonts w:ascii="Arial Narrow" w:eastAsia="Calibri" w:hAnsi="Arial Narrow" w:cs="Arial"/>
                <w:color w:val="0070C0"/>
                <w:sz w:val="24"/>
                <w:szCs w:val="24"/>
                <w:lang w:val="sr-Cyrl-CS"/>
              </w:rPr>
              <w:lastRenderedPageBreak/>
              <w:t>периода директорка школе је креирала Истраживачки рад „Утицај наставних и ваннаставних активности академских професора на квалитет рада школе“ као део припрема за полагање испита за лиценцу. У истраживачки поступак су се укључили и ученици и колеге као и некадашњи ученици школе и академски професори. Истраживање ће несумњиво допринети даљем унапређењу рада школе у свим сегментима.</w:t>
            </w:r>
          </w:p>
        </w:tc>
      </w:tr>
      <w:tr w:rsidR="00704D12" w:rsidRPr="0008265A" w:rsidTr="00796A01">
        <w:trPr>
          <w:trHeight w:val="467"/>
        </w:trPr>
        <w:tc>
          <w:tcPr>
            <w:tcW w:w="1967" w:type="dxa"/>
            <w:vMerge/>
          </w:tcPr>
          <w:p w:rsidR="00704D12" w:rsidRPr="0008265A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3055" w:type="dxa"/>
            <w:shd w:val="clear" w:color="auto" w:fill="D9D9D9"/>
            <w:vAlign w:val="center"/>
          </w:tcPr>
          <w:p w:rsidR="00704D12" w:rsidRPr="006C7898" w:rsidRDefault="00704D12" w:rsidP="00076A03">
            <w:pPr>
              <w:pStyle w:val="1tekst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D9D9D9"/>
          </w:tcPr>
          <w:p w:rsidR="00704D12" w:rsidRPr="006C7898" w:rsidRDefault="00704D12" w:rsidP="00076A0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sr-Cyrl-CS"/>
              </w:rPr>
            </w:pPr>
          </w:p>
        </w:tc>
      </w:tr>
    </w:tbl>
    <w:p w:rsidR="00D725FC" w:rsidRPr="00490018" w:rsidRDefault="00D725FC" w:rsidP="005E2A1E">
      <w:pPr>
        <w:rPr>
          <w:sz w:val="24"/>
          <w:szCs w:val="24"/>
        </w:rPr>
      </w:pPr>
    </w:p>
    <w:p w:rsidR="00D725FC" w:rsidRPr="00555F80" w:rsidRDefault="00D725FC" w:rsidP="00555F80">
      <w:pPr>
        <w:pStyle w:val="ListParagraph"/>
        <w:ind w:left="1080"/>
        <w:rPr>
          <w:sz w:val="24"/>
          <w:szCs w:val="24"/>
          <w:lang/>
        </w:rPr>
      </w:pPr>
    </w:p>
    <w:p w:rsidR="00717DC2" w:rsidRDefault="00717DC2" w:rsidP="00717DC2">
      <w:pPr>
        <w:pStyle w:val="ListParagraph"/>
        <w:ind w:left="1080"/>
        <w:rPr>
          <w:sz w:val="24"/>
          <w:szCs w:val="24"/>
        </w:rPr>
      </w:pPr>
    </w:p>
    <w:p w:rsidR="00717DC2" w:rsidRPr="00796A01" w:rsidRDefault="00B957C1" w:rsidP="00490018">
      <w:pPr>
        <w:rPr>
          <w:sz w:val="24"/>
          <w:szCs w:val="24"/>
          <w:lang/>
        </w:rPr>
      </w:pPr>
      <w:r>
        <w:rPr>
          <w:sz w:val="24"/>
          <w:szCs w:val="24"/>
        </w:rPr>
        <w:t>Околности изазване пандемијом условиле су и рационализацију финансијских средстав</w:t>
      </w:r>
      <w:r w:rsidR="00796A01">
        <w:rPr>
          <w:sz w:val="24"/>
          <w:szCs w:val="24"/>
        </w:rPr>
        <w:t>а и буџета Града</w:t>
      </w:r>
      <w:r w:rsidR="00796A01">
        <w:rPr>
          <w:sz w:val="24"/>
          <w:szCs w:val="24"/>
          <w:lang/>
        </w:rPr>
        <w:t>. У току извештајног периода реализоване су следеће активности у сегменту одржавања зграде и набавке опреме:</w:t>
      </w:r>
    </w:p>
    <w:p w:rsidR="00B957C1" w:rsidRDefault="00796A01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/>
        </w:rPr>
        <w:t>набавка 6 нових белих табли са нотним системом</w:t>
      </w:r>
    </w:p>
    <w:p w:rsidR="00B957C1" w:rsidRPr="00796A01" w:rsidRDefault="00B957C1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санација крова – лимарски радови</w:t>
      </w:r>
    </w:p>
    <w:p w:rsidR="00796A01" w:rsidRPr="00796A01" w:rsidRDefault="00796A01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/>
        </w:rPr>
        <w:t>генерално штимовање клавира у школи</w:t>
      </w:r>
    </w:p>
    <w:p w:rsidR="00796A01" w:rsidRPr="00796A01" w:rsidRDefault="00796A01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/>
        </w:rPr>
        <w:t>генералан ремонт гудачких школских инструмената (струњење гудала, замена жица, чивија, кобилица и осталог потрошног материјала)</w:t>
      </w:r>
    </w:p>
    <w:p w:rsidR="00796A01" w:rsidRPr="00642C14" w:rsidRDefault="00796A01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/>
        </w:rPr>
        <w:t>куповина новог звучника</w:t>
      </w:r>
    </w:p>
    <w:p w:rsidR="00642C14" w:rsidRDefault="00642C14" w:rsidP="00B957C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/>
        </w:rPr>
        <w:t>генералан ремонт интернет инсталација</w:t>
      </w:r>
    </w:p>
    <w:p w:rsidR="00F63058" w:rsidRDefault="00F63058" w:rsidP="00F63058">
      <w:pPr>
        <w:pStyle w:val="ListParagraph"/>
        <w:ind w:left="1440"/>
        <w:rPr>
          <w:sz w:val="24"/>
          <w:szCs w:val="24"/>
        </w:rPr>
      </w:pPr>
    </w:p>
    <w:p w:rsidR="00F63058" w:rsidRPr="00555F80" w:rsidRDefault="00796A01" w:rsidP="00555F80">
      <w:pPr>
        <w:rPr>
          <w:sz w:val="24"/>
          <w:szCs w:val="24"/>
          <w:lang/>
        </w:rPr>
      </w:pPr>
      <w:r w:rsidRPr="00555F80">
        <w:rPr>
          <w:sz w:val="24"/>
          <w:szCs w:val="24"/>
        </w:rPr>
        <w:t xml:space="preserve">Директорка школе је </w:t>
      </w:r>
      <w:r w:rsidRPr="00555F80">
        <w:rPr>
          <w:sz w:val="24"/>
          <w:szCs w:val="24"/>
          <w:lang/>
        </w:rPr>
        <w:t xml:space="preserve">у оквиру рада Тима за предузетништво била задужена  и за израду пројекта „Музички студио школе“ са којим је школа аплицирала на конкурсу „Подршка Стеам образовању“ </w:t>
      </w:r>
      <w:r w:rsidR="00555F80" w:rsidRPr="00555F80">
        <w:rPr>
          <w:sz w:val="24"/>
          <w:szCs w:val="24"/>
          <w:lang/>
        </w:rPr>
        <w:t>код фондације Дивац у новембру месецу. Резултати конкурса још увек нису познати.</w:t>
      </w:r>
    </w:p>
    <w:p w:rsidR="00F63058" w:rsidRDefault="00F63058" w:rsidP="00F63058">
      <w:pPr>
        <w:pStyle w:val="ListParagraph"/>
        <w:ind w:left="1440"/>
        <w:rPr>
          <w:sz w:val="24"/>
          <w:szCs w:val="24"/>
        </w:rPr>
      </w:pPr>
    </w:p>
    <w:p w:rsidR="00F63058" w:rsidRPr="00F63058" w:rsidRDefault="00F63058" w:rsidP="00F63058">
      <w:pPr>
        <w:pStyle w:val="ListParagraph"/>
        <w:ind w:left="1440"/>
        <w:rPr>
          <w:b/>
          <w:sz w:val="24"/>
          <w:szCs w:val="24"/>
        </w:rPr>
      </w:pPr>
      <w:r w:rsidRPr="00F63058">
        <w:rPr>
          <w:b/>
          <w:sz w:val="24"/>
          <w:szCs w:val="24"/>
        </w:rPr>
        <w:lastRenderedPageBreak/>
        <w:t>ЗАКЉУЧАК</w:t>
      </w:r>
    </w:p>
    <w:p w:rsidR="002D3244" w:rsidRDefault="00F63058" w:rsidP="00704D12">
      <w:pPr>
        <w:rPr>
          <w:sz w:val="24"/>
          <w:szCs w:val="24"/>
          <w:lang/>
        </w:rPr>
      </w:pPr>
      <w:r>
        <w:rPr>
          <w:sz w:val="24"/>
          <w:szCs w:val="24"/>
        </w:rPr>
        <w:t>У времену и околностима у којима су и држава и образовање у ситуацији која не дозвољава озбиљније планирање чак ни у визији при</w:t>
      </w:r>
      <w:r w:rsidR="00E324BB">
        <w:rPr>
          <w:sz w:val="24"/>
          <w:szCs w:val="24"/>
        </w:rPr>
        <w:t xml:space="preserve">сутно, незахвално је и готово немогуће </w:t>
      </w:r>
      <w:r>
        <w:rPr>
          <w:sz w:val="24"/>
          <w:szCs w:val="24"/>
        </w:rPr>
        <w:t xml:space="preserve"> дефинисати и закључке. </w:t>
      </w:r>
      <w:r w:rsidR="00555F80">
        <w:rPr>
          <w:sz w:val="24"/>
          <w:szCs w:val="24"/>
          <w:lang/>
        </w:rPr>
        <w:t xml:space="preserve"> Ипак оно што је евидентно, јесте да је упркос околностима прво полугодиште</w:t>
      </w:r>
      <w:r w:rsidR="00642C14">
        <w:rPr>
          <w:sz w:val="24"/>
          <w:szCs w:val="24"/>
          <w:lang/>
        </w:rPr>
        <w:t xml:space="preserve"> 2020/2021 </w:t>
      </w:r>
      <w:r w:rsidR="00555F80">
        <w:rPr>
          <w:sz w:val="24"/>
          <w:szCs w:val="24"/>
          <w:lang/>
        </w:rPr>
        <w:t xml:space="preserve"> у школи прошло без проблема, са врло малом присутношћу  болести изазване </w:t>
      </w:r>
      <w:r w:rsidR="00642C14">
        <w:rPr>
          <w:sz w:val="24"/>
          <w:szCs w:val="24"/>
          <w:lang/>
        </w:rPr>
        <w:t xml:space="preserve">вирусом Цовид 19 и код наставника </w:t>
      </w:r>
      <w:r w:rsidR="00555F80">
        <w:rPr>
          <w:sz w:val="24"/>
          <w:szCs w:val="24"/>
          <w:lang/>
        </w:rPr>
        <w:t xml:space="preserve"> и код ученика и да је школа активно радила у свим областима вредновања њеног квалитета. Надамо се да ће период од фебруара до марта донети позитивна померања у смислу по</w:t>
      </w:r>
      <w:r w:rsidR="00642C14">
        <w:rPr>
          <w:sz w:val="24"/>
          <w:szCs w:val="24"/>
          <w:lang/>
        </w:rPr>
        <w:t>п</w:t>
      </w:r>
      <w:r w:rsidR="00555F80">
        <w:rPr>
          <w:sz w:val="24"/>
          <w:szCs w:val="24"/>
          <w:lang/>
        </w:rPr>
        <w:t>рављања епдиемиолошке ситуације и попуштања мера изазваних  вирусом, те да ће активност ваљевске музичке школе имати прилику да буде виђена, доживљена и прихваћена на најбољи могући начин од свих актера друштвеног живота у нашој средини али и ван ње.</w:t>
      </w:r>
    </w:p>
    <w:p w:rsidR="00555F80" w:rsidRPr="00555F80" w:rsidRDefault="00555F80" w:rsidP="00704D12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Јануар 2021.                                                                                  мр Сузана Радовановић Перић</w:t>
      </w:r>
    </w:p>
    <w:p w:rsidR="00F63058" w:rsidRDefault="00F63058" w:rsidP="00F63058">
      <w:pPr>
        <w:rPr>
          <w:sz w:val="24"/>
          <w:szCs w:val="24"/>
        </w:rPr>
      </w:pPr>
    </w:p>
    <w:p w:rsidR="00F63058" w:rsidRDefault="00F63058" w:rsidP="00F63058">
      <w:pPr>
        <w:rPr>
          <w:sz w:val="24"/>
          <w:szCs w:val="24"/>
        </w:rPr>
      </w:pPr>
    </w:p>
    <w:p w:rsidR="00F63058" w:rsidRPr="00F63058" w:rsidRDefault="00F63058" w:rsidP="00F63058">
      <w:pPr>
        <w:rPr>
          <w:sz w:val="24"/>
          <w:szCs w:val="24"/>
        </w:rPr>
      </w:pPr>
    </w:p>
    <w:p w:rsidR="00F63058" w:rsidRPr="00B957C1" w:rsidRDefault="00F63058" w:rsidP="00F63058">
      <w:pPr>
        <w:pStyle w:val="ListParagraph"/>
        <w:ind w:left="1440"/>
        <w:rPr>
          <w:sz w:val="24"/>
          <w:szCs w:val="24"/>
        </w:rPr>
      </w:pPr>
    </w:p>
    <w:p w:rsidR="00BD593B" w:rsidRDefault="00BD593B" w:rsidP="00BD593B">
      <w:pPr>
        <w:pStyle w:val="ListParagraph"/>
        <w:ind w:left="1080"/>
        <w:rPr>
          <w:sz w:val="24"/>
          <w:szCs w:val="24"/>
        </w:rPr>
      </w:pPr>
    </w:p>
    <w:p w:rsidR="00BD593B" w:rsidRDefault="00BD593B" w:rsidP="00BD593B">
      <w:pPr>
        <w:pStyle w:val="ListParagraph"/>
        <w:ind w:left="1080"/>
        <w:rPr>
          <w:sz w:val="24"/>
          <w:szCs w:val="24"/>
        </w:rPr>
      </w:pPr>
    </w:p>
    <w:p w:rsidR="002E726A" w:rsidRDefault="002E726A" w:rsidP="002E726A">
      <w:pPr>
        <w:pStyle w:val="ListParagraph"/>
        <w:ind w:left="1080"/>
        <w:rPr>
          <w:sz w:val="24"/>
          <w:szCs w:val="24"/>
        </w:rPr>
      </w:pPr>
    </w:p>
    <w:p w:rsidR="002E726A" w:rsidRPr="00EE77FA" w:rsidRDefault="002E726A" w:rsidP="002E726A">
      <w:pPr>
        <w:pStyle w:val="ListParagraph"/>
        <w:ind w:left="1080"/>
        <w:rPr>
          <w:sz w:val="24"/>
          <w:szCs w:val="24"/>
        </w:rPr>
      </w:pPr>
    </w:p>
    <w:p w:rsidR="00EE77FA" w:rsidRPr="00EE77FA" w:rsidRDefault="00EE77FA" w:rsidP="00EE77FA">
      <w:pPr>
        <w:pStyle w:val="ListParagraph"/>
        <w:ind w:left="1080"/>
        <w:rPr>
          <w:sz w:val="24"/>
          <w:szCs w:val="24"/>
        </w:rPr>
      </w:pPr>
    </w:p>
    <w:p w:rsidR="00EE77FA" w:rsidRPr="00EE77FA" w:rsidRDefault="00EE77FA" w:rsidP="00C66E4F">
      <w:pPr>
        <w:pStyle w:val="ListParagraph"/>
        <w:ind w:left="1080"/>
        <w:rPr>
          <w:sz w:val="24"/>
          <w:szCs w:val="24"/>
        </w:rPr>
      </w:pPr>
    </w:p>
    <w:p w:rsidR="000D5E90" w:rsidRPr="000D5E90" w:rsidRDefault="000D5E90" w:rsidP="009F0D7F">
      <w:pPr>
        <w:rPr>
          <w:sz w:val="24"/>
          <w:szCs w:val="24"/>
        </w:rPr>
      </w:pPr>
    </w:p>
    <w:p w:rsidR="00C52844" w:rsidRDefault="00C52844" w:rsidP="009F0D7F">
      <w:pPr>
        <w:rPr>
          <w:sz w:val="24"/>
          <w:szCs w:val="24"/>
        </w:rPr>
      </w:pPr>
    </w:p>
    <w:p w:rsidR="00C52844" w:rsidRPr="00C52844" w:rsidRDefault="00C52844" w:rsidP="009F0D7F">
      <w:pPr>
        <w:rPr>
          <w:sz w:val="24"/>
          <w:szCs w:val="24"/>
        </w:rPr>
      </w:pPr>
    </w:p>
    <w:p w:rsidR="00C52844" w:rsidRDefault="00C52844" w:rsidP="009F0D7F">
      <w:pPr>
        <w:rPr>
          <w:sz w:val="24"/>
          <w:szCs w:val="24"/>
        </w:rPr>
      </w:pPr>
    </w:p>
    <w:p w:rsidR="00A27319" w:rsidRDefault="00A27319" w:rsidP="009F0D7F">
      <w:pPr>
        <w:rPr>
          <w:sz w:val="24"/>
          <w:szCs w:val="24"/>
        </w:rPr>
      </w:pPr>
    </w:p>
    <w:p w:rsidR="00A27319" w:rsidRPr="009F0D7F" w:rsidRDefault="00A27319" w:rsidP="009F0D7F">
      <w:pPr>
        <w:rPr>
          <w:sz w:val="24"/>
          <w:szCs w:val="24"/>
        </w:rPr>
      </w:pP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</w:p>
    <w:p w:rsidR="00353225" w:rsidRDefault="00353225" w:rsidP="00353225">
      <w:pPr>
        <w:pStyle w:val="ListParagraph"/>
        <w:ind w:left="1080"/>
        <w:rPr>
          <w:sz w:val="24"/>
          <w:szCs w:val="24"/>
        </w:rPr>
      </w:pPr>
    </w:p>
    <w:p w:rsidR="00276B82" w:rsidRPr="00276B82" w:rsidRDefault="00276B82" w:rsidP="00361CC4">
      <w:pPr>
        <w:pStyle w:val="ListParagraph"/>
        <w:ind w:left="1080"/>
        <w:rPr>
          <w:sz w:val="24"/>
          <w:szCs w:val="24"/>
        </w:rPr>
      </w:pPr>
    </w:p>
    <w:p w:rsidR="00EC0B66" w:rsidRDefault="00EC0B66" w:rsidP="00361CC4">
      <w:pPr>
        <w:pStyle w:val="ListParagraph"/>
        <w:ind w:left="1080"/>
        <w:rPr>
          <w:b/>
          <w:sz w:val="24"/>
          <w:szCs w:val="24"/>
        </w:rPr>
      </w:pPr>
    </w:p>
    <w:p w:rsidR="00EC0B66" w:rsidRPr="00EC0B66" w:rsidRDefault="00EC0B66" w:rsidP="00361CC4">
      <w:pPr>
        <w:pStyle w:val="ListParagraph"/>
        <w:ind w:left="1080"/>
        <w:rPr>
          <w:sz w:val="24"/>
          <w:szCs w:val="24"/>
        </w:rPr>
      </w:pPr>
    </w:p>
    <w:p w:rsidR="00AD6F35" w:rsidRDefault="00AD6F35" w:rsidP="00361CC4">
      <w:pPr>
        <w:pStyle w:val="ListParagraph"/>
        <w:ind w:left="1080"/>
        <w:rPr>
          <w:sz w:val="24"/>
          <w:szCs w:val="24"/>
        </w:rPr>
      </w:pPr>
    </w:p>
    <w:p w:rsidR="00AD6F35" w:rsidRDefault="00AD6F35" w:rsidP="00361CC4">
      <w:pPr>
        <w:pStyle w:val="ListParagraph"/>
        <w:ind w:left="1080"/>
        <w:rPr>
          <w:sz w:val="24"/>
          <w:szCs w:val="24"/>
        </w:rPr>
      </w:pPr>
    </w:p>
    <w:p w:rsidR="00AD6F35" w:rsidRPr="00D33D5E" w:rsidRDefault="00AD6F35" w:rsidP="00361CC4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P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Default="00361CC4" w:rsidP="00361CC4">
      <w:pPr>
        <w:pStyle w:val="ListParagraph"/>
        <w:ind w:left="1080"/>
        <w:rPr>
          <w:sz w:val="24"/>
          <w:szCs w:val="24"/>
        </w:rPr>
      </w:pPr>
    </w:p>
    <w:p w:rsidR="00361CC4" w:rsidRPr="007A5CAB" w:rsidRDefault="00361CC4" w:rsidP="00361CC4">
      <w:pPr>
        <w:pStyle w:val="ListParagraph"/>
        <w:ind w:left="1080"/>
        <w:rPr>
          <w:sz w:val="24"/>
          <w:szCs w:val="24"/>
        </w:rPr>
      </w:pPr>
    </w:p>
    <w:p w:rsidR="00767E3D" w:rsidRDefault="00767E3D" w:rsidP="002A2EEB">
      <w:pPr>
        <w:pStyle w:val="ListParagraph"/>
        <w:rPr>
          <w:sz w:val="24"/>
          <w:szCs w:val="24"/>
        </w:rPr>
      </w:pPr>
    </w:p>
    <w:p w:rsidR="0070338E" w:rsidRDefault="0070338E" w:rsidP="002A2EEB">
      <w:pPr>
        <w:pStyle w:val="ListParagraph"/>
        <w:rPr>
          <w:sz w:val="24"/>
          <w:szCs w:val="24"/>
        </w:rPr>
      </w:pPr>
    </w:p>
    <w:p w:rsidR="0070338E" w:rsidRPr="0070338E" w:rsidRDefault="0070338E" w:rsidP="002A2EEB">
      <w:pPr>
        <w:pStyle w:val="ListParagraph"/>
        <w:rPr>
          <w:sz w:val="24"/>
          <w:szCs w:val="24"/>
        </w:rPr>
      </w:pPr>
    </w:p>
    <w:p w:rsidR="00BB511D" w:rsidRDefault="00BB511D" w:rsidP="002A2EEB">
      <w:pPr>
        <w:pStyle w:val="ListParagraph"/>
        <w:rPr>
          <w:b/>
          <w:sz w:val="24"/>
          <w:szCs w:val="24"/>
        </w:rPr>
      </w:pPr>
    </w:p>
    <w:p w:rsidR="00BB511D" w:rsidRPr="00BB511D" w:rsidRDefault="00BB511D" w:rsidP="002A2EEB">
      <w:pPr>
        <w:pStyle w:val="ListParagraph"/>
        <w:rPr>
          <w:sz w:val="24"/>
          <w:szCs w:val="24"/>
        </w:rPr>
      </w:pPr>
    </w:p>
    <w:p w:rsidR="00BB511D" w:rsidRPr="00BB511D" w:rsidRDefault="00BB511D" w:rsidP="002A2EEB">
      <w:pPr>
        <w:pStyle w:val="ListParagraph"/>
        <w:rPr>
          <w:b/>
          <w:sz w:val="24"/>
          <w:szCs w:val="24"/>
        </w:rPr>
      </w:pPr>
    </w:p>
    <w:sectPr w:rsidR="00BB511D" w:rsidRPr="00BB511D" w:rsidSect="00A8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avska BG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8AD"/>
    <w:multiLevelType w:val="hybridMultilevel"/>
    <w:tmpl w:val="B7B2992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E4C48"/>
    <w:multiLevelType w:val="hybridMultilevel"/>
    <w:tmpl w:val="6B4A535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F2C50"/>
    <w:multiLevelType w:val="hybridMultilevel"/>
    <w:tmpl w:val="85D0FC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63534F"/>
    <w:multiLevelType w:val="hybridMultilevel"/>
    <w:tmpl w:val="71147FAA"/>
    <w:lvl w:ilvl="0" w:tplc="312A9F6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682C"/>
    <w:multiLevelType w:val="hybridMultilevel"/>
    <w:tmpl w:val="791CBE6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3B753B"/>
    <w:multiLevelType w:val="hybridMultilevel"/>
    <w:tmpl w:val="CABC1940"/>
    <w:lvl w:ilvl="0" w:tplc="F742216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60402"/>
    <w:multiLevelType w:val="hybridMultilevel"/>
    <w:tmpl w:val="A0485F14"/>
    <w:lvl w:ilvl="0" w:tplc="45F2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6624BA"/>
    <w:multiLevelType w:val="hybridMultilevel"/>
    <w:tmpl w:val="3878C73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2A258A"/>
    <w:multiLevelType w:val="hybridMultilevel"/>
    <w:tmpl w:val="3446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485A"/>
    <w:multiLevelType w:val="hybridMultilevel"/>
    <w:tmpl w:val="B0F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D23A4"/>
    <w:multiLevelType w:val="hybridMultilevel"/>
    <w:tmpl w:val="E8F0DED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870F91"/>
    <w:multiLevelType w:val="hybridMultilevel"/>
    <w:tmpl w:val="9B1ACC4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BE06CE"/>
    <w:multiLevelType w:val="hybridMultilevel"/>
    <w:tmpl w:val="B710668A"/>
    <w:lvl w:ilvl="0" w:tplc="F10CF9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3C72EC"/>
    <w:multiLevelType w:val="hybridMultilevel"/>
    <w:tmpl w:val="357427A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A5A91"/>
    <w:multiLevelType w:val="hybridMultilevel"/>
    <w:tmpl w:val="715426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50E3D"/>
    <w:multiLevelType w:val="hybridMultilevel"/>
    <w:tmpl w:val="9694259C"/>
    <w:lvl w:ilvl="0" w:tplc="343E79D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805D77"/>
    <w:multiLevelType w:val="hybridMultilevel"/>
    <w:tmpl w:val="1396DC00"/>
    <w:lvl w:ilvl="0" w:tplc="AE92B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9D0470"/>
    <w:multiLevelType w:val="hybridMultilevel"/>
    <w:tmpl w:val="8006DD64"/>
    <w:lvl w:ilvl="0" w:tplc="29586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089"/>
    <w:rsid w:val="0000212F"/>
    <w:rsid w:val="00002D5E"/>
    <w:rsid w:val="0002029F"/>
    <w:rsid w:val="00060353"/>
    <w:rsid w:val="00060621"/>
    <w:rsid w:val="000640C2"/>
    <w:rsid w:val="000A6703"/>
    <w:rsid w:val="000C1E34"/>
    <w:rsid w:val="000D5E90"/>
    <w:rsid w:val="000D7B49"/>
    <w:rsid w:val="00166CCF"/>
    <w:rsid w:val="00172928"/>
    <w:rsid w:val="00190EFD"/>
    <w:rsid w:val="00194274"/>
    <w:rsid w:val="001A5112"/>
    <w:rsid w:val="002368E4"/>
    <w:rsid w:val="00276B82"/>
    <w:rsid w:val="002A2EEB"/>
    <w:rsid w:val="002D3244"/>
    <w:rsid w:val="002E43DA"/>
    <w:rsid w:val="002E726A"/>
    <w:rsid w:val="002F4938"/>
    <w:rsid w:val="00304585"/>
    <w:rsid w:val="00326E20"/>
    <w:rsid w:val="00353225"/>
    <w:rsid w:val="00361CC4"/>
    <w:rsid w:val="003A3579"/>
    <w:rsid w:val="003B7C1A"/>
    <w:rsid w:val="003D701E"/>
    <w:rsid w:val="003D7BF3"/>
    <w:rsid w:val="003E1278"/>
    <w:rsid w:val="00414AE9"/>
    <w:rsid w:val="00454FA6"/>
    <w:rsid w:val="004552E6"/>
    <w:rsid w:val="00456817"/>
    <w:rsid w:val="00490018"/>
    <w:rsid w:val="004D3DC6"/>
    <w:rsid w:val="00503258"/>
    <w:rsid w:val="005044F1"/>
    <w:rsid w:val="00542E42"/>
    <w:rsid w:val="00555F80"/>
    <w:rsid w:val="005E2A1E"/>
    <w:rsid w:val="00612DA9"/>
    <w:rsid w:val="00642C14"/>
    <w:rsid w:val="006944C0"/>
    <w:rsid w:val="006A2F5F"/>
    <w:rsid w:val="006F1F97"/>
    <w:rsid w:val="006F577F"/>
    <w:rsid w:val="0070338E"/>
    <w:rsid w:val="00704D12"/>
    <w:rsid w:val="00717DC2"/>
    <w:rsid w:val="00755B23"/>
    <w:rsid w:val="00767E3D"/>
    <w:rsid w:val="00785DCF"/>
    <w:rsid w:val="00796A01"/>
    <w:rsid w:val="007A5CAB"/>
    <w:rsid w:val="007B0A6E"/>
    <w:rsid w:val="007F785D"/>
    <w:rsid w:val="0081149A"/>
    <w:rsid w:val="00820189"/>
    <w:rsid w:val="008214B4"/>
    <w:rsid w:val="00824201"/>
    <w:rsid w:val="008D4FEC"/>
    <w:rsid w:val="008D5DF3"/>
    <w:rsid w:val="008F3089"/>
    <w:rsid w:val="0093047A"/>
    <w:rsid w:val="00944265"/>
    <w:rsid w:val="009C6A74"/>
    <w:rsid w:val="009F0D7F"/>
    <w:rsid w:val="00A24541"/>
    <w:rsid w:val="00A27319"/>
    <w:rsid w:val="00A317DB"/>
    <w:rsid w:val="00A835E4"/>
    <w:rsid w:val="00AD52B3"/>
    <w:rsid w:val="00AD6F35"/>
    <w:rsid w:val="00AF0598"/>
    <w:rsid w:val="00AF5F51"/>
    <w:rsid w:val="00B05BE6"/>
    <w:rsid w:val="00B11C7D"/>
    <w:rsid w:val="00B72DB5"/>
    <w:rsid w:val="00B744CE"/>
    <w:rsid w:val="00B957C1"/>
    <w:rsid w:val="00BB511D"/>
    <w:rsid w:val="00BD593B"/>
    <w:rsid w:val="00C07C3A"/>
    <w:rsid w:val="00C12E9A"/>
    <w:rsid w:val="00C3460C"/>
    <w:rsid w:val="00C3570E"/>
    <w:rsid w:val="00C52844"/>
    <w:rsid w:val="00C66E4F"/>
    <w:rsid w:val="00CC3523"/>
    <w:rsid w:val="00D215DA"/>
    <w:rsid w:val="00D33D5E"/>
    <w:rsid w:val="00D67F17"/>
    <w:rsid w:val="00D725FC"/>
    <w:rsid w:val="00D83CFE"/>
    <w:rsid w:val="00DC7469"/>
    <w:rsid w:val="00DD11AA"/>
    <w:rsid w:val="00DD3881"/>
    <w:rsid w:val="00DE7272"/>
    <w:rsid w:val="00E324BB"/>
    <w:rsid w:val="00E82D9D"/>
    <w:rsid w:val="00E86F66"/>
    <w:rsid w:val="00EC0B66"/>
    <w:rsid w:val="00EE591D"/>
    <w:rsid w:val="00EE77FA"/>
    <w:rsid w:val="00EF663E"/>
    <w:rsid w:val="00F0647D"/>
    <w:rsid w:val="00F14BA2"/>
    <w:rsid w:val="00F63058"/>
    <w:rsid w:val="00F83A5D"/>
    <w:rsid w:val="00F92D07"/>
    <w:rsid w:val="00F97531"/>
    <w:rsid w:val="00FC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EB"/>
    <w:pPr>
      <w:ind w:left="720"/>
      <w:contextualSpacing/>
    </w:pPr>
  </w:style>
  <w:style w:type="table" w:styleId="TableGrid">
    <w:name w:val="Table Grid"/>
    <w:basedOn w:val="TableNormal"/>
    <w:uiPriority w:val="59"/>
    <w:rsid w:val="005E2A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A6703"/>
    <w:pPr>
      <w:spacing w:after="120" w:line="280" w:lineRule="exact"/>
    </w:pPr>
    <w:rPr>
      <w:rFonts w:ascii="Resavska BG" w:eastAsia="DejaVu Sans" w:hAnsi="Resavska BG" w:cs="Mangal"/>
      <w:kern w:val="2"/>
      <w:sz w:val="24"/>
      <w:szCs w:val="2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6703"/>
    <w:rPr>
      <w:rFonts w:ascii="Resavska BG" w:eastAsia="DejaVu Sans" w:hAnsi="Resavska BG" w:cs="Mangal"/>
      <w:kern w:val="2"/>
      <w:sz w:val="24"/>
      <w:szCs w:val="21"/>
      <w:lang w:eastAsia="zh-CN" w:bidi="hi-IN"/>
    </w:rPr>
  </w:style>
  <w:style w:type="paragraph" w:customStyle="1" w:styleId="1tekst">
    <w:name w:val="_1tekst"/>
    <w:basedOn w:val="Normal"/>
    <w:rsid w:val="002368E4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dcterms:created xsi:type="dcterms:W3CDTF">2019-02-24T11:16:00Z</dcterms:created>
  <dcterms:modified xsi:type="dcterms:W3CDTF">2021-01-26T12:58:00Z</dcterms:modified>
</cp:coreProperties>
</file>